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mc:AlternateContent>
          <mc:Choice Requires="wps">
            <w:drawing>
              <wp:anchor simplePos="0" relativeHeight="251657728" behindDoc="1" locked="0" layoutInCell="0" allowOverlap="1">
                <wp:simplePos x="0" y="0"/>
                <wp:positionH relativeFrom="page">
                  <wp:posOffset>213995</wp:posOffset>
                </wp:positionH>
                <wp:positionV relativeFrom="page">
                  <wp:posOffset>267335</wp:posOffset>
                </wp:positionV>
                <wp:extent cx="71151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85pt,21.05pt" to="577.1pt,21.0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213995</wp:posOffset>
                </wp:positionH>
                <wp:positionV relativeFrom="page">
                  <wp:posOffset>328930</wp:posOffset>
                </wp:positionV>
                <wp:extent cx="71151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85pt,25.9pt" to="577.1pt,25.9pt" o:allowincell="f" strokecolor="#000000" strokeweight="0.4799pt">
                <w10:wrap anchorx="page" anchory="page"/>
              </v:line>
            </w:pict>
          </mc:Fallback>
        </mc:AlternateContent>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41" w:lineRule="exact"/>
        <w:rPr>
          <w:sz w:val="24"/>
          <w:szCs w:val="24"/>
          <w:color w:val="auto"/>
        </w:rPr>
      </w:pPr>
    </w:p>
    <w:p>
      <w:pPr>
        <w:ind w:left="4100" w:right="1640" w:hanging="4093"/>
        <w:spacing w:after="0" w:line="365" w:lineRule="auto"/>
        <w:tabs>
          <w:tab w:leader="none" w:pos="724" w:val="left"/>
        </w:tabs>
        <w:numPr>
          <w:ilvl w:val="0"/>
          <w:numId w:val="1"/>
        </w:numPr>
        <w:rPr>
          <w:rFonts w:ascii="Segoe UI Symbol" w:cs="Segoe UI Symbol" w:eastAsia="Segoe UI Symbol" w:hAnsi="Segoe UI Symbol"/>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year ended December 31, 2025</w:t>
      </w:r>
    </w:p>
    <w:p>
      <w:pPr>
        <w:ind w:left="5460"/>
        <w:spacing w:after="0"/>
        <w:rPr>
          <w:rFonts w:ascii="Segoe UI Symbol" w:cs="Segoe UI Symbol" w:eastAsia="Segoe UI Symbol" w:hAnsi="Segoe UI Symbol"/>
          <w:sz w:val="18"/>
          <w:szCs w:val="18"/>
          <w:b w:val="1"/>
          <w:bCs w:val="1"/>
          <w:color w:val="auto"/>
        </w:rPr>
      </w:pPr>
      <w:r>
        <w:rPr>
          <w:rFonts w:ascii="Times New Roman" w:cs="Times New Roman" w:eastAsia="Times New Roman" w:hAnsi="Times New Roman"/>
          <w:sz w:val="16"/>
          <w:szCs w:val="16"/>
          <w:b w:val="1"/>
          <w:bCs w:val="1"/>
          <w:color w:val="auto"/>
        </w:rPr>
        <w:t>OR</w:t>
      </w:r>
    </w:p>
    <w:p>
      <w:pPr>
        <w:spacing w:after="0" w:line="141" w:lineRule="exact"/>
        <w:rPr>
          <w:sz w:val="24"/>
          <w:szCs w:val="24"/>
          <w:color w:val="auto"/>
        </w:rPr>
      </w:pPr>
    </w:p>
    <w:p>
      <w:pPr>
        <w:ind w:left="720" w:hanging="713"/>
        <w:spacing w:after="0"/>
        <w:tabs>
          <w:tab w:leader="none" w:pos="720" w:val="left"/>
        </w:tabs>
        <w:numPr>
          <w:ilvl w:val="0"/>
          <w:numId w:val="2"/>
        </w:numPr>
        <w:rPr>
          <w:rFonts w:ascii="Segoe UI Symbol" w:cs="Segoe UI Symbol" w:eastAsia="Segoe UI Symbol" w:hAnsi="Segoe UI Symbol"/>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6" w:lineRule="exact"/>
        <w:rPr>
          <w:sz w:val="24"/>
          <w:szCs w:val="24"/>
          <w:color w:val="auto"/>
        </w:rPr>
      </w:pPr>
    </w:p>
    <w:p>
      <w:pPr>
        <w:ind w:left="3640"/>
        <w:spacing w:after="0"/>
        <w:tabs>
          <w:tab w:leader="none" w:pos="66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001-39069</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Aprea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6" w:lineRule="exact"/>
        <w:rPr>
          <w:sz w:val="24"/>
          <w:szCs w:val="24"/>
          <w:color w:val="auto"/>
        </w:rPr>
      </w:pPr>
    </w:p>
    <w:tbl>
      <w:tblPr>
        <w:tblLayout w:type="fixed"/>
        <w:tblInd w:w="1440" w:type="dxa"/>
        <w:tblCellMar>
          <w:top w:w="0" w:type="dxa"/>
          <w:left w:w="0" w:type="dxa"/>
          <w:bottom w:w="0" w:type="dxa"/>
          <w:right w:w="0" w:type="dxa"/>
        </w:tblCellMar>
      </w:tblPr>
      <w:tr>
        <w:trPr>
          <w:trHeight w:val="188"/>
        </w:trPr>
        <w:tc>
          <w:tcPr>
            <w:tcW w:w="4960" w:type="dxa"/>
            <w:vAlign w:val="bottom"/>
          </w:tcPr>
          <w:p>
            <w:pPr>
              <w:jc w:val="center"/>
              <w:ind w:right="105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80" w:type="dxa"/>
            <w:vAlign w:val="bottom"/>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84-2246769</w:t>
            </w:r>
          </w:p>
        </w:tc>
      </w:tr>
      <w:tr>
        <w:trPr>
          <w:trHeight w:val="212"/>
        </w:trPr>
        <w:tc>
          <w:tcPr>
            <w:tcW w:w="4960" w:type="dxa"/>
            <w:vAlign w:val="bottom"/>
          </w:tcPr>
          <w:p>
            <w:pPr>
              <w:jc w:val="center"/>
              <w:ind w:right="1053"/>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258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66"/>
        </w:trPr>
        <w:tc>
          <w:tcPr>
            <w:tcW w:w="4960" w:type="dxa"/>
            <w:vAlign w:val="bottom"/>
          </w:tcPr>
          <w:p>
            <w:pPr>
              <w:jc w:val="center"/>
              <w:ind w:right="1053"/>
              <w:spacing w:after="0"/>
              <w:rPr>
                <w:sz w:val="20"/>
                <w:szCs w:val="20"/>
                <w:color w:val="auto"/>
              </w:rPr>
            </w:pPr>
            <w:r>
              <w:rPr>
                <w:rFonts w:ascii="Times New Roman" w:cs="Times New Roman" w:eastAsia="Times New Roman" w:hAnsi="Times New Roman"/>
                <w:sz w:val="18"/>
                <w:szCs w:val="18"/>
                <w:b w:val="1"/>
                <w:bCs w:val="1"/>
                <w:color w:val="auto"/>
              </w:rPr>
              <w:t>3805 Old Easton Road</w:t>
            </w:r>
          </w:p>
        </w:tc>
        <w:tc>
          <w:tcPr>
            <w:tcW w:w="2580" w:type="dxa"/>
            <w:vAlign w:val="bottom"/>
          </w:tcPr>
          <w:p>
            <w:pPr>
              <w:jc w:val="right"/>
              <w:ind w:right="858"/>
              <w:spacing w:after="0"/>
              <w:rPr>
                <w:sz w:val="20"/>
                <w:szCs w:val="20"/>
                <w:color w:val="auto"/>
              </w:rPr>
            </w:pPr>
            <w:r>
              <w:rPr>
                <w:rFonts w:ascii="Times New Roman" w:cs="Times New Roman" w:eastAsia="Times New Roman" w:hAnsi="Times New Roman"/>
                <w:sz w:val="18"/>
                <w:szCs w:val="18"/>
                <w:b w:val="1"/>
                <w:bCs w:val="1"/>
                <w:color w:val="auto"/>
              </w:rPr>
              <w:t>18902</w:t>
            </w:r>
          </w:p>
        </w:tc>
      </w:tr>
      <w:tr>
        <w:trPr>
          <w:trHeight w:val="208"/>
        </w:trPr>
        <w:tc>
          <w:tcPr>
            <w:tcW w:w="4960" w:type="dxa"/>
            <w:vAlign w:val="bottom"/>
          </w:tcPr>
          <w:p>
            <w:pPr>
              <w:jc w:val="center"/>
              <w:ind w:right="993"/>
              <w:spacing w:after="0"/>
              <w:rPr>
                <w:sz w:val="20"/>
                <w:szCs w:val="20"/>
                <w:color w:val="auto"/>
              </w:rPr>
            </w:pPr>
            <w:r>
              <w:rPr>
                <w:rFonts w:ascii="Times New Roman" w:cs="Times New Roman" w:eastAsia="Times New Roman" w:hAnsi="Times New Roman"/>
                <w:sz w:val="18"/>
                <w:szCs w:val="18"/>
                <w:b w:val="1"/>
                <w:bCs w:val="1"/>
                <w:color w:val="auto"/>
                <w:w w:val="99"/>
              </w:rPr>
              <w:t>Doylestown, Pennsylvania</w:t>
            </w:r>
          </w:p>
        </w:tc>
        <w:tc>
          <w:tcPr>
            <w:tcW w:w="258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240"/>
        </w:trPr>
        <w:tc>
          <w:tcPr>
            <w:tcW w:w="4960" w:type="dxa"/>
            <w:vAlign w:val="bottom"/>
          </w:tcPr>
          <w:p>
            <w:pPr>
              <w:jc w:val="center"/>
              <w:ind w:right="1053"/>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spacing w:after="0"/>
              <w:rPr>
                <w:sz w:val="20"/>
                <w:szCs w:val="20"/>
                <w:color w:val="auto"/>
              </w:rPr>
            </w:pPr>
          </w:p>
        </w:tc>
      </w:tr>
      <w:tr>
        <w:trPr>
          <w:trHeight w:val="292"/>
        </w:trPr>
        <w:tc>
          <w:tcPr>
            <w:tcW w:w="49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(215) 948-4119</w:t>
            </w:r>
          </w:p>
        </w:tc>
        <w:tc>
          <w:tcPr>
            <w:tcW w:w="25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64"/>
        </w:trPr>
        <w:tc>
          <w:tcPr>
            <w:tcW w:w="4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exchange</w:t>
            </w:r>
          </w:p>
        </w:tc>
      </w:tr>
      <w:tr>
        <w:trPr>
          <w:trHeight w:val="203"/>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00" w:type="dxa"/>
            <w:vAlign w:val="bottom"/>
          </w:tcPr>
          <w:p>
            <w:pPr>
              <w:spacing w:after="0"/>
              <w:rPr>
                <w:sz w:val="17"/>
                <w:szCs w:val="17"/>
                <w:color w:val="auto"/>
              </w:rPr>
            </w:pPr>
          </w:p>
        </w:tc>
        <w:tc>
          <w:tcPr>
            <w:tcW w:w="246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7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2"/>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$0.001 per share</w:t>
            </w:r>
          </w:p>
        </w:tc>
        <w:tc>
          <w:tcPr>
            <w:tcW w:w="300" w:type="dxa"/>
            <w:vAlign w:val="bottom"/>
          </w:tcPr>
          <w:p>
            <w:pPr>
              <w:spacing w:after="0"/>
              <w:rPr>
                <w:sz w:val="17"/>
                <w:szCs w:val="17"/>
                <w:color w:val="auto"/>
              </w:rPr>
            </w:pPr>
          </w:p>
        </w:tc>
        <w:tc>
          <w:tcPr>
            <w:tcW w:w="2460" w:type="dxa"/>
            <w:vAlign w:val="bottom"/>
          </w:tcPr>
          <w:p>
            <w:pPr>
              <w:jc w:val="center"/>
              <w:ind w:left="660"/>
              <w:spacing w:after="0"/>
              <w:rPr>
                <w:sz w:val="20"/>
                <w:szCs w:val="20"/>
                <w:color w:val="auto"/>
              </w:rPr>
            </w:pPr>
            <w:r>
              <w:rPr>
                <w:rFonts w:ascii="Times New Roman" w:cs="Times New Roman" w:eastAsia="Times New Roman" w:hAnsi="Times New Roman"/>
                <w:sz w:val="16"/>
                <w:szCs w:val="16"/>
                <w:color w:val="auto"/>
                <w:w w:val="97"/>
              </w:rPr>
              <w:t>APRE</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57"/>
        </w:trPr>
        <w:tc>
          <w:tcPr>
            <w:tcW w:w="4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332"/>
        </w:trPr>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r>
              <w:rPr>
                <w:rFonts w:ascii="Wingdings" w:cs="Wingdings" w:eastAsia="Wingdings" w:hAnsi="Wingdings"/>
                <w:sz w:val="14"/>
                <w:szCs w:val="14"/>
                <w:color w:val="auto"/>
              </w:rPr>
              <w:t></w:t>
            </w:r>
          </w:p>
        </w:tc>
      </w:tr>
      <w:tr>
        <w:trPr>
          <w:trHeight w:val="154"/>
        </w:trPr>
        <w:tc>
          <w:tcPr>
            <w:tcW w:w="4160" w:type="dxa"/>
            <w:vAlign w:val="bottom"/>
          </w:tcPr>
          <w:p>
            <w:pPr>
              <w:ind w:left="300"/>
              <w:spacing w:after="0" w:line="154" w:lineRule="exact"/>
              <w:rPr>
                <w:sz w:val="20"/>
                <w:szCs w:val="20"/>
                <w:color w:val="auto"/>
              </w:rPr>
            </w:pPr>
            <w:r>
              <w:rPr>
                <w:rFonts w:ascii="Wingdings" w:cs="Wingdings" w:eastAsia="Wingdings" w:hAnsi="Wingdings"/>
                <w:sz w:val="14"/>
                <w:szCs w:val="14"/>
                <w:color w:val="auto"/>
              </w:rPr>
              <w:t></w:t>
            </w:r>
          </w:p>
        </w:tc>
        <w:tc>
          <w:tcPr>
            <w:tcW w:w="3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tcPr>
          <w:p>
            <w:pPr>
              <w:spacing w:after="0"/>
              <w:rPr>
                <w:sz w:val="13"/>
                <w:szCs w:val="13"/>
                <w:color w:val="auto"/>
              </w:rPr>
            </w:pPr>
          </w:p>
        </w:tc>
      </w:tr>
    </w:tbl>
    <w:p>
      <w:pPr>
        <w:ind w:left="300" w:right="3160"/>
        <w:spacing w:after="0" w:line="235"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r>
        <w:rPr>
          <w:rFonts w:ascii="Wingdings" w:cs="Wingdings" w:eastAsia="Wingdings" w:hAnsi="Wingdings"/>
          <w:sz w:val="14"/>
          <w:szCs w:val="14"/>
          <w:color w:val="auto"/>
        </w:rPr>
        <w:t></w:t>
      </w:r>
      <w:r>
        <w:rPr>
          <w:rFonts w:ascii="Times New Roman" w:cs="Times New Roman" w:eastAsia="Times New Roman" w:hAnsi="Times New Roman"/>
          <w:sz w:val="14"/>
          <w:szCs w:val="14"/>
          <w:color w:val="auto"/>
        </w:rPr>
        <w:t xml:space="preserve"> </w:t>
      </w:r>
      <w:r>
        <w:rPr>
          <w:rFonts w:ascii="Wingdings" w:cs="Wingdings" w:eastAsia="Wingdings" w:hAnsi="Wingdings"/>
          <w:sz w:val="14"/>
          <w:szCs w:val="14"/>
          <w:color w:val="auto"/>
        </w:rPr>
        <w:t></w:t>
      </w:r>
    </w:p>
    <w:p>
      <w:pPr>
        <w:spacing w:after="0" w:line="1" w:lineRule="exact"/>
        <w:rPr>
          <w:sz w:val="24"/>
          <w:szCs w:val="24"/>
          <w:color w:val="auto"/>
        </w:rPr>
      </w:pPr>
    </w:p>
    <w:p>
      <w:pPr>
        <w:ind w:right="140" w:firstLine="288"/>
        <w:spacing w:after="0" w:line="33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6" w:lineRule="exact"/>
        <w:rPr>
          <w:sz w:val="24"/>
          <w:szCs w:val="24"/>
          <w:color w:val="auto"/>
        </w:rPr>
      </w:pPr>
    </w:p>
    <w:p>
      <w:pPr>
        <w:ind w:right="20" w:firstLine="288"/>
        <w:spacing w:after="0" w:line="35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320" w:firstLine="288"/>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1160"/>
          </w:cols>
          <w:pgMar w:left="360" w:top="640" w:right="360" w:bottom="551" w:gutter="0" w:footer="0" w:header="0"/>
        </w:sectPr>
      </w:pPr>
    </w:p>
    <w:p>
      <w:pPr>
        <w:spacing w:after="0" w:line="106"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Segoe UI Symbol" w:cs="Segoe UI Symbol" w:eastAsia="Segoe UI Symbol" w:hAnsi="Segoe UI Symbol"/>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Segoe UI Symbol" w:cs="Segoe UI Symbol" w:eastAsia="Segoe UI Symbol" w:hAnsi="Segoe UI Symbol"/>
          <w:sz w:val="14"/>
          <w:szCs w:val="14"/>
          <w:color w:val="auto"/>
        </w:rPr>
        <w:t>☐</w:t>
      </w:r>
    </w:p>
    <w:p>
      <w:pPr>
        <w:spacing w:after="0" w:line="138" w:lineRule="exact"/>
        <w:rPr>
          <w:sz w:val="24"/>
          <w:szCs w:val="24"/>
          <w:color w:val="auto"/>
        </w:rPr>
      </w:pPr>
    </w:p>
    <w:p>
      <w:pPr>
        <w:sectPr>
          <w:pgSz w:w="11880" w:h="15480" w:orient="portrait"/>
          <w:cols w:equalWidth="0" w:num="2">
            <w:col w:w="6580" w:space="720"/>
            <w:col w:w="3860"/>
          </w:cols>
          <w:pgMar w:left="360" w:top="640" w:right="360" w:bottom="551" w:gutter="0" w:footer="0" w:header="0"/>
          <w:type w:val="continuous"/>
        </w:sectPr>
      </w:pPr>
    </w:p>
    <w:p>
      <w:pPr>
        <w:ind w:left="2640"/>
        <w:spacing w:after="0"/>
        <w:rPr>
          <w:sz w:val="20"/>
          <w:szCs w:val="20"/>
          <w:color w:val="auto"/>
        </w:rPr>
      </w:pPr>
      <w:r>
        <w:rPr>
          <w:rFonts w:ascii="Times New Roman" w:cs="Times New Roman" w:eastAsia="Times New Roman" w:hAnsi="Times New Roman"/>
          <w:sz w:val="13"/>
          <w:szCs w:val="13"/>
          <w:color w:val="auto"/>
        </w:rPr>
        <w:t xml:space="preserve">Non-accelerated filer </w:t>
      </w:r>
      <w:r>
        <w:rPr>
          <w:rFonts w:ascii="Segoe UI Symbol" w:cs="Segoe UI Symbol" w:eastAsia="Segoe UI Symbol" w:hAnsi="Segoe UI Symbol"/>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 xml:space="preserve">Smaller reporting company </w:t>
      </w:r>
      <w:r>
        <w:rPr>
          <w:rFonts w:ascii="Segoe UI Symbol" w:cs="Segoe UI Symbol" w:eastAsia="Segoe UI Symbol" w:hAnsi="Segoe UI Symbol"/>
          <w:sz w:val="13"/>
          <w:szCs w:val="13"/>
          <w:color w:val="auto"/>
        </w:rPr>
        <w:t>☒</w:t>
      </w:r>
    </w:p>
    <w:p>
      <w:pPr>
        <w:spacing w:after="0" w:line="151" w:lineRule="exact"/>
        <w:rPr>
          <w:sz w:val="24"/>
          <w:szCs w:val="24"/>
          <w:color w:val="auto"/>
        </w:rPr>
      </w:pPr>
    </w:p>
    <w:p>
      <w:pPr>
        <w:sectPr>
          <w:pgSz w:w="11880" w:h="15480" w:orient="portrait"/>
          <w:cols w:equalWidth="0" w:num="2">
            <w:col w:w="6300" w:space="720"/>
            <w:col w:w="4140"/>
          </w:cols>
          <w:pgMar w:left="360" w:top="640" w:right="360" w:bottom="551" w:gutter="0" w:footer="0" w:header="0"/>
          <w:type w:val="continuous"/>
        </w:sectPr>
      </w:pPr>
    </w:p>
    <w:p>
      <w:pPr>
        <w:ind w:left="7020"/>
        <w:spacing w:after="0"/>
        <w:rPr>
          <w:sz w:val="20"/>
          <w:szCs w:val="20"/>
          <w:color w:val="auto"/>
        </w:rPr>
      </w:pPr>
      <w:r>
        <w:rPr>
          <w:rFonts w:ascii="Times New Roman" w:cs="Times New Roman" w:eastAsia="Times New Roman" w:hAnsi="Times New Roman"/>
          <w:sz w:val="13"/>
          <w:szCs w:val="13"/>
          <w:color w:val="auto"/>
        </w:rPr>
        <w:t xml:space="preserve">Emerging growth company </w:t>
      </w:r>
      <w:r>
        <w:rPr>
          <w:rFonts w:ascii="Segoe UI Symbol" w:cs="Segoe UI Symbol" w:eastAsia="Segoe UI Symbol" w:hAnsi="Segoe UI Symbol"/>
          <w:sz w:val="13"/>
          <w:szCs w:val="13"/>
          <w:color w:val="auto"/>
        </w:rPr>
        <w:t>☐</w:t>
      </w:r>
    </w:p>
    <w:p>
      <w:pPr>
        <w:sectPr>
          <w:pgSz w:w="11880" w:h="15480" w:orient="portrait"/>
          <w:cols w:equalWidth="0" w:num="1">
            <w:col w:w="11160"/>
          </w:cols>
          <w:pgMar w:left="360" w:top="640" w:right="360" w:bottom="551" w:gutter="0" w:footer="0" w:header="0"/>
          <w:type w:val="continuous"/>
        </w:sectPr>
      </w:pPr>
    </w:p>
    <w:p>
      <w:pPr>
        <w:spacing w:after="0" w:line="195" w:lineRule="exact"/>
        <w:rPr>
          <w:sz w:val="24"/>
          <w:szCs w:val="24"/>
          <w:color w:val="auto"/>
        </w:rPr>
      </w:pPr>
    </w:p>
    <w:p>
      <w:pPr>
        <w:ind w:right="480" w:firstLine="288"/>
        <w:spacing w:after="0" w:line="33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ind w:right="440" w:firstLine="288"/>
        <w:spacing w:after="0" w:line="33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60" w:firstLine="288"/>
        <w:spacing w:after="0" w:line="335"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ind w:right="200" w:firstLine="288"/>
        <w:spacing w:after="0" w:line="320"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r>
        <w:rPr>
          <w:rFonts w:ascii="Wingdings" w:cs="Wingdings" w:eastAsia="Wingdings" w:hAnsi="Wingdings"/>
          <w:sz w:val="14"/>
          <w:szCs w:val="14"/>
          <w:color w:val="auto"/>
        </w:rPr>
        <w:t></w:t>
      </w:r>
    </w:p>
    <w:p>
      <w:pPr>
        <w:spacing w:after="0" w:line="18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was approximately $8.6 million.</w:t>
      </w:r>
      <w:r>
        <w:rPr>
          <w:rFonts w:ascii="Wingdings" w:cs="Wingdings" w:eastAsia="Wingdings" w:hAnsi="Wingdings"/>
          <w:sz w:val="14"/>
          <w:szCs w:val="14"/>
          <w:color w:val="auto"/>
        </w:rPr>
        <w:t></w:t>
      </w:r>
    </w:p>
    <w:p>
      <w:pPr>
        <w:spacing w:after="0" w:line="13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color w:val="auto"/>
        </w:rPr>
        <w:t>There were 11,452,452 shares of the registrant’s common stock, $0.001 par value, outstanding as of March 16, 2026.</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3" w:lineRule="exact"/>
        <w:rPr>
          <w:sz w:val="24"/>
          <w:szCs w:val="24"/>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Stockholders (the “Proxy Statement”), to be filed within 120 days of the registrant’s fiscal year ended December 31, 2025,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63500</wp:posOffset>
                </wp:positionV>
                <wp:extent cx="71145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5pt" to="559.1pt,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125095</wp:posOffset>
                </wp:positionV>
                <wp:extent cx="71145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9.85pt" to="559.1pt,9.85pt" o:allowincell="f" strokecolor="#000000" strokeweight="3pt"/>
            </w:pict>
          </mc:Fallback>
        </mc:AlternateContent>
      </w:r>
    </w:p>
    <w:p>
      <w:pPr>
        <w:sectPr>
          <w:pgSz w:w="11880" w:h="15480" w:orient="portrait"/>
          <w:cols w:equalWidth="0" w:num="1">
            <w:col w:w="11160"/>
          </w:cols>
          <w:pgMar w:left="360" w:top="640" w:right="360" w:bottom="5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280" w:type="dxa"/>
            <w:vAlign w:val="bottom"/>
          </w:tcPr>
          <w:p>
            <w:pPr>
              <w:jc w:val="center"/>
              <w:ind w:left="349"/>
              <w:spacing w:after="0"/>
              <w:rPr>
                <w:sz w:val="20"/>
                <w:szCs w:val="20"/>
                <w:color w:val="auto"/>
              </w:rPr>
            </w:pPr>
            <w:r>
              <w:rPr>
                <w:rFonts w:ascii="Times New Roman" w:cs="Times New Roman" w:eastAsia="Times New Roman" w:hAnsi="Times New Roman"/>
                <w:sz w:val="20"/>
                <w:szCs w:val="20"/>
                <w:color w:val="auto"/>
                <w:w w:val="99"/>
              </w:rPr>
              <w:t>A</w:t>
            </w:r>
            <w:r>
              <w:rPr>
                <w:rFonts w:ascii="Times New Roman" w:cs="Times New Roman" w:eastAsia="Times New Roman" w:hAnsi="Times New Roman"/>
                <w:sz w:val="20"/>
                <w:szCs w:val="20"/>
                <w:b w:val="1"/>
                <w:bCs w:val="1"/>
                <w:color w:val="auto"/>
                <w:w w:val="99"/>
              </w:rPr>
              <w:t>prea Therapeutics,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80" w:type="dxa"/>
            <w:vAlign w:val="bottom"/>
          </w:tcPr>
          <w:p>
            <w:pPr>
              <w:jc w:val="center"/>
              <w:ind w:left="349"/>
              <w:spacing w:after="0"/>
              <w:rPr>
                <w:sz w:val="20"/>
                <w:szCs w:val="20"/>
                <w:color w:val="auto"/>
              </w:rPr>
            </w:pPr>
            <w:r>
              <w:rPr>
                <w:rFonts w:ascii="Times New Roman" w:cs="Times New Roman" w:eastAsia="Times New Roman" w:hAnsi="Times New Roman"/>
                <w:sz w:val="20"/>
                <w:szCs w:val="20"/>
                <w:b w:val="1"/>
                <w:bCs w:val="1"/>
                <w:color w:val="auto"/>
              </w:rPr>
              <w:t>Annual Report on Form 10-K</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9280" w:type="dxa"/>
            <w:vAlign w:val="bottom"/>
          </w:tcPr>
          <w:p>
            <w:pPr>
              <w:jc w:val="center"/>
              <w:ind w:left="349"/>
              <w:spacing w:after="0"/>
              <w:rPr>
                <w:sz w:val="20"/>
                <w:szCs w:val="20"/>
                <w:color w:val="auto"/>
              </w:rPr>
            </w:pPr>
            <w:r>
              <w:rPr>
                <w:rFonts w:ascii="Times New Roman" w:cs="Times New Roman" w:eastAsia="Times New Roman" w:hAnsi="Times New Roman"/>
                <w:sz w:val="20"/>
                <w:szCs w:val="20"/>
                <w:b w:val="1"/>
                <w:bCs w:val="1"/>
                <w:color w:val="auto"/>
                <w:w w:val="99"/>
              </w:rPr>
              <w:t>For the Year Ended December 31, 2025</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9280" w:type="dxa"/>
            <w:vAlign w:val="bottom"/>
          </w:tcPr>
          <w:p>
            <w:pPr>
              <w:jc w:val="center"/>
              <w:ind w:left="349"/>
              <w:spacing w:after="0"/>
              <w:rPr>
                <w:sz w:val="20"/>
                <w:szCs w:val="20"/>
                <w:color w:val="auto"/>
              </w:rPr>
            </w:pPr>
            <w:r>
              <w:rPr>
                <w:rFonts w:ascii="Times New Roman" w:cs="Times New Roman" w:eastAsia="Times New Roman" w:hAnsi="Times New Roman"/>
                <w:sz w:val="20"/>
                <w:szCs w:val="20"/>
                <w:b w:val="1"/>
                <w:bCs w:val="1"/>
                <w:color w:val="auto"/>
                <w:w w:val="99"/>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80" w:type="dxa"/>
            <w:vAlign w:val="bottom"/>
            <w:vMerge w:val="restart"/>
          </w:tcPr>
          <w:p>
            <w:pPr>
              <w:jc w:val="center"/>
              <w:ind w:left="349"/>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7"/>
        </w:trPr>
        <w:tc>
          <w:tcPr>
            <w:tcW w:w="92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 Business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1A. Risk Factors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1C. Cybersecurity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2. Properties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3. 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418"/>
        </w:trPr>
        <w:tc>
          <w:tcPr>
            <w:tcW w:w="9280" w:type="dxa"/>
            <w:vAlign w:val="bottom"/>
          </w:tcPr>
          <w:p>
            <w:pPr>
              <w:jc w:val="center"/>
              <w:ind w:left="349"/>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6. [Reserved]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126</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9B. 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37"/>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18"/>
        </w:trPr>
        <w:tc>
          <w:tcPr>
            <w:tcW w:w="9280" w:type="dxa"/>
            <w:vAlign w:val="bottom"/>
          </w:tcPr>
          <w:p>
            <w:pPr>
              <w:jc w:val="center"/>
              <w:ind w:left="349"/>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18"/>
        </w:trPr>
        <w:tc>
          <w:tcPr>
            <w:tcW w:w="9280" w:type="dxa"/>
            <w:vAlign w:val="bottom"/>
          </w:tcPr>
          <w:p>
            <w:pPr>
              <w:jc w:val="center"/>
              <w:ind w:left="349"/>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4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Item 16. Form 10-K Summary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2" w:right="1080" w:bottom="542" w:gutter="0" w:footer="0" w:header="0"/>
        </w:sect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720"/>
          </w:cols>
          <w:pgMar w:left="1080" w:top="1062" w:right="1080" w:bottom="542" w:gutter="0" w:footer="0" w:header="0"/>
          <w:type w:val="continuous"/>
        </w:sectPr>
      </w:pPr>
    </w:p>
    <w:bookmarkStart w:id="2" w:name="page3"/>
    <w:bookmarkEnd w:id="2"/>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This Annual Report on Form 10-K includes statements that are, or may be deemed, “forward-looking statements.” In some cases, these forward-looking statements can be identified by the use of forward-looking terminology, including the terms “believes,” “estimates,” “anticipates,” “expects,” “plans,” “intends,” “may,” “designed,” “would,” “could,” “might,” “will,” “should,” “approximately” or, in each case, their negative or other variations thereon or comparable terminology, although not all forward-looking statements contain these words. They appear in a number of places throughout this Annual Report on Form 10-K and include statements regarding our current intentions, beliefs, projections, outlook, analyses or current expectations concerning, among other things, our ongoing and planned clinical trials, including for APR-1051 and ATRN- 119, our ongoing and planned development, prospects for commercialization, and market uptake of our potential product candidates, the strength and breadth of our intellectual property, the timing of and our ability to make regulatory filings and obtain and maintain regulatory approvals for our product candidates, the legal and regulatory landscape impacting our business, the degree of clinical utility of our product candidates, particularly in specific patient populations, expectations regarding clinical trial data, our development and validation of manufacturing capabilities, our results of operations, financial condition, liquidity, prospects, growth and strategies, the length of time that we will be able to continue to fund our operating expenses and capital expenditures, our expected financing needs and sources of financing, the industry in which we operate and the trends that may affect the industry or us.</w:t>
      </w:r>
    </w:p>
    <w:p>
      <w:pPr>
        <w:spacing w:after="0" w:line="2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future events, competitive dynamics, and healthcare, regulatory and scientific developments and depend on economic circumstances that may or may not occur in the future or may occur on longer or shorter timelines than anticipated. We caution you that forward-looking statements are not guarantees, or predictive, of future performance and that our actual results of operations, financial condition and liquidity, and the development of the industry in which we operate may differ materially from the forward-looking statements contained in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 of the factors that we believe could cause actual results to differ from those anticipated or predicted include</w:t>
      </w:r>
    </w:p>
    <w:p>
      <w:pPr>
        <w:spacing w:after="0" w:line="230" w:lineRule="exact"/>
        <w:rPr>
          <w:sz w:val="20"/>
          <w:szCs w:val="20"/>
          <w:color w:val="auto"/>
        </w:rPr>
      </w:pPr>
    </w:p>
    <w:p>
      <w:pPr>
        <w:ind w:left="1080" w:hanging="353"/>
        <w:spacing w:after="0"/>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estimates of our expenses, capital requirements and our needs for additional financing;</w:t>
      </w:r>
    </w:p>
    <w:p>
      <w:pPr>
        <w:spacing w:after="0" w:line="94" w:lineRule="exact"/>
        <w:rPr>
          <w:rFonts w:ascii="Symbol" w:cs="Symbol" w:eastAsia="Symbol" w:hAnsi="Symbol"/>
          <w:sz w:val="20"/>
          <w:szCs w:val="20"/>
          <w:color w:val="auto"/>
        </w:rPr>
      </w:pPr>
    </w:p>
    <w:p>
      <w:pPr>
        <w:ind w:left="1080" w:right="420" w:hanging="353"/>
        <w:spacing w:after="0" w:line="251" w:lineRule="auto"/>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business interruptions, including delays in enrollment, patient follow-up and data collection of clinical trials;</w:t>
      </w:r>
    </w:p>
    <w:p>
      <w:pPr>
        <w:spacing w:after="0" w:line="63" w:lineRule="exact"/>
        <w:rPr>
          <w:rFonts w:ascii="Symbol" w:cs="Symbol" w:eastAsia="Symbol" w:hAnsi="Symbol"/>
          <w:sz w:val="20"/>
          <w:szCs w:val="20"/>
          <w:color w:val="auto"/>
        </w:rPr>
      </w:pPr>
    </w:p>
    <w:p>
      <w:pPr>
        <w:ind w:left="1080" w:hanging="353"/>
        <w:spacing w:after="0"/>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prospects of our product candidates, all of which are still in development;</w:t>
      </w:r>
    </w:p>
    <w:p>
      <w:pPr>
        <w:spacing w:after="0" w:line="94" w:lineRule="exact"/>
        <w:rPr>
          <w:rFonts w:ascii="Symbol" w:cs="Symbol" w:eastAsia="Symbol" w:hAnsi="Symbol"/>
          <w:sz w:val="20"/>
          <w:szCs w:val="20"/>
          <w:color w:val="auto"/>
        </w:rPr>
      </w:pPr>
    </w:p>
    <w:p>
      <w:pPr>
        <w:ind w:left="1080" w:hanging="353"/>
        <w:spacing w:after="0"/>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outcomes and results of ongoing or future preclinical studies and clinical trials of our product candidates;</w:t>
      </w:r>
    </w:p>
    <w:p>
      <w:pPr>
        <w:spacing w:after="0" w:line="94" w:lineRule="exact"/>
        <w:rPr>
          <w:rFonts w:ascii="Symbol" w:cs="Symbol" w:eastAsia="Symbol" w:hAnsi="Symbol"/>
          <w:sz w:val="20"/>
          <w:szCs w:val="20"/>
          <w:color w:val="auto"/>
        </w:rPr>
      </w:pPr>
    </w:p>
    <w:p>
      <w:pPr>
        <w:ind w:left="1080" w:right="900" w:hanging="353"/>
        <w:spacing w:after="0" w:line="252" w:lineRule="auto"/>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our ability to identify, discover or acquire additional suitable product candidates;</w:t>
      </w:r>
    </w:p>
    <w:p>
      <w:pPr>
        <w:spacing w:after="0" w:line="61" w:lineRule="exact"/>
        <w:rPr>
          <w:rFonts w:ascii="Symbol" w:cs="Symbol" w:eastAsia="Symbol" w:hAnsi="Symbol"/>
          <w:sz w:val="20"/>
          <w:szCs w:val="20"/>
          <w:color w:val="auto"/>
        </w:rPr>
      </w:pPr>
    </w:p>
    <w:p>
      <w:pPr>
        <w:ind w:left="1080" w:right="380" w:hanging="353"/>
        <w:spacing w:after="0" w:line="251" w:lineRule="auto"/>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design of our ongoing and planned clinical trials, including the sample size, trial duration, endpoint definition, event rate assumptions and eligibility criteria;</w:t>
      </w:r>
    </w:p>
    <w:p>
      <w:pPr>
        <w:spacing w:after="0" w:line="63" w:lineRule="exact"/>
        <w:rPr>
          <w:rFonts w:ascii="Symbol" w:cs="Symbol" w:eastAsia="Symbol" w:hAnsi="Symbol"/>
          <w:sz w:val="20"/>
          <w:szCs w:val="20"/>
          <w:color w:val="auto"/>
        </w:rPr>
      </w:pPr>
    </w:p>
    <w:p>
      <w:pPr>
        <w:jc w:val="both"/>
        <w:ind w:left="1080" w:right="220" w:hanging="353"/>
        <w:spacing w:after="0"/>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understanding of product candidates mechanisms of action and interpretation of preclinical and early clinical results from clinical development programs and our ability to predict clinical outcomes based on such preclinical and early clinical results;</w:t>
      </w:r>
    </w:p>
    <w:p>
      <w:pPr>
        <w:spacing w:after="0" w:line="75" w:lineRule="exact"/>
        <w:rPr>
          <w:rFonts w:ascii="Symbol" w:cs="Symbol" w:eastAsia="Symbol" w:hAnsi="Symbol"/>
          <w:sz w:val="20"/>
          <w:szCs w:val="20"/>
          <w:color w:val="auto"/>
        </w:rPr>
      </w:pPr>
    </w:p>
    <w:p>
      <w:pPr>
        <w:ind w:left="1080" w:right="40" w:hanging="353"/>
        <w:spacing w:after="0" w:line="251" w:lineRule="auto"/>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enroll patients in clinical trials, to timely and successfully complete those trials and to receive necessary regulatory approvals;</w:t>
      </w:r>
    </w:p>
    <w:p>
      <w:pPr>
        <w:spacing w:after="0" w:line="62" w:lineRule="exact"/>
        <w:rPr>
          <w:rFonts w:ascii="Symbol" w:cs="Symbol" w:eastAsia="Symbol" w:hAnsi="Symbol"/>
          <w:sz w:val="20"/>
          <w:szCs w:val="20"/>
          <w:color w:val="auto"/>
        </w:rPr>
      </w:pPr>
    </w:p>
    <w:p>
      <w:pPr>
        <w:ind w:left="1080" w:hanging="353"/>
        <w:spacing w:after="0"/>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the timing of initiation of data readout from our clinical trials;</w:t>
      </w:r>
    </w:p>
    <w:p>
      <w:pPr>
        <w:spacing w:after="0" w:line="95" w:lineRule="exact"/>
        <w:rPr>
          <w:rFonts w:ascii="Symbol" w:cs="Symbol" w:eastAsia="Symbol" w:hAnsi="Symbol"/>
          <w:sz w:val="20"/>
          <w:szCs w:val="20"/>
          <w:color w:val="auto"/>
        </w:rPr>
      </w:pPr>
    </w:p>
    <w:p>
      <w:pPr>
        <w:ind w:left="1080" w:right="600" w:hanging="353"/>
        <w:spacing w:after="0"/>
        <w:tabs>
          <w:tab w:leader="none" w:pos="10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acceptance or commercial success of any product candidate we develop and the degree of acceptance among physicians, patients, patient advocacy groups, health care payors and the medical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700"/>
          </w:cols>
          <w:pgMar w:left="1080" w:top="1440" w:right="1100" w:bottom="542" w:gutter="0" w:footer="0" w:header="0"/>
        </w:sectPr>
      </w:pPr>
    </w:p>
    <w:bookmarkStart w:id="3" w:name="page4"/>
    <w:bookmarkEnd w:id="3"/>
    <w:p>
      <w:pPr>
        <w:ind w:left="1080" w:right="320" w:hanging="353"/>
        <w:spacing w:after="0" w:line="251" w:lineRule="auto"/>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competition, potential market size, the size of the patient populations for our product candidates, if approved for commercial use, and market acceptance;</w:t>
      </w:r>
    </w:p>
    <w:p>
      <w:pPr>
        <w:spacing w:after="0" w:line="63" w:lineRule="exact"/>
        <w:rPr>
          <w:rFonts w:ascii="Symbol" w:cs="Symbol" w:eastAsia="Symbol" w:hAnsi="Symbol"/>
          <w:sz w:val="20"/>
          <w:szCs w:val="20"/>
          <w:color w:val="auto"/>
        </w:rPr>
      </w:pPr>
    </w:p>
    <w:p>
      <w:pPr>
        <w:ind w:left="1080" w:right="140" w:hanging="353"/>
        <w:spacing w:after="0" w:line="251" w:lineRule="auto"/>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obtain regulatory approval of our product candidates, and any restrictions, limitations and/or warnings in their labels, if approved;</w:t>
      </w:r>
    </w:p>
    <w:p>
      <w:pPr>
        <w:spacing w:after="0" w:line="62" w:lineRule="exact"/>
        <w:rPr>
          <w:rFonts w:ascii="Symbol" w:cs="Symbol" w:eastAsia="Symbol" w:hAnsi="Symbol"/>
          <w:sz w:val="20"/>
          <w:szCs w:val="20"/>
          <w:color w:val="auto"/>
        </w:rPr>
      </w:pPr>
    </w:p>
    <w:p>
      <w:pPr>
        <w:ind w:left="1080" w:right="260" w:hanging="353"/>
        <w:spacing w:after="0" w:line="252" w:lineRule="auto"/>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covering our product candidates;</w:t>
      </w:r>
    </w:p>
    <w:p>
      <w:pPr>
        <w:spacing w:after="0" w:line="61"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claims relating to our intellectual property and third-party intellectual property;</w:t>
      </w:r>
    </w:p>
    <w:p>
      <w:pPr>
        <w:spacing w:after="0" w:line="94"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duration of our intellectual property estate that will provide protection for our product candidates;</w:t>
      </w:r>
    </w:p>
    <w:p>
      <w:pPr>
        <w:spacing w:after="0" w:line="95"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relating to our competitors and our industry;</w:t>
      </w:r>
    </w:p>
    <w:p>
      <w:pPr>
        <w:spacing w:after="0" w:line="94" w:lineRule="exact"/>
        <w:rPr>
          <w:rFonts w:ascii="Symbol" w:cs="Symbol" w:eastAsia="Symbol" w:hAnsi="Symbol"/>
          <w:sz w:val="20"/>
          <w:szCs w:val="20"/>
          <w:color w:val="auto"/>
        </w:rPr>
      </w:pPr>
    </w:p>
    <w:p>
      <w:pPr>
        <w:ind w:left="1080" w:right="100" w:hanging="353"/>
        <w:spacing w:after="0" w:line="251" w:lineRule="auto"/>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sales, marketing or distribution capabilities and our ability to commercialize our product candidates, if we obtain regulatory approval;</w:t>
      </w:r>
    </w:p>
    <w:p>
      <w:pPr>
        <w:spacing w:after="0" w:line="63" w:lineRule="exact"/>
        <w:rPr>
          <w:rFonts w:ascii="Symbol" w:cs="Symbol" w:eastAsia="Symbol" w:hAnsi="Symbol"/>
          <w:sz w:val="20"/>
          <w:szCs w:val="20"/>
          <w:color w:val="auto"/>
        </w:rPr>
      </w:pPr>
    </w:p>
    <w:p>
      <w:pPr>
        <w:ind w:left="1080" w:right="60" w:hanging="353"/>
        <w:spacing w:after="0" w:line="251" w:lineRule="auto"/>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current and future agreements with third parties in connection with conducting clinical trials, as well as the manufacturing of our product candidates;</w:t>
      </w:r>
    </w:p>
    <w:p>
      <w:pPr>
        <w:spacing w:after="0" w:line="62" w:lineRule="exact"/>
        <w:rPr>
          <w:rFonts w:ascii="Symbol" w:cs="Symbol" w:eastAsia="Symbol" w:hAnsi="Symbol"/>
          <w:sz w:val="20"/>
          <w:szCs w:val="20"/>
          <w:color w:val="auto"/>
        </w:rPr>
      </w:pPr>
    </w:p>
    <w:p>
      <w:pPr>
        <w:ind w:left="1080" w:hanging="353"/>
        <w:spacing w:after="0" w:line="252" w:lineRule="auto"/>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the ability of our current contract manufacturing partners to produce our product candidates in the quantities and timeframe that we will require;</w:t>
      </w:r>
    </w:p>
    <w:p>
      <w:pPr>
        <w:spacing w:after="0" w:line="61"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our future costs of goods;</w:t>
      </w:r>
    </w:p>
    <w:p>
      <w:pPr>
        <w:spacing w:after="0" w:line="94"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attract, retain and motivate key personnel and increase the size of our organization;</w:t>
      </w:r>
    </w:p>
    <w:p>
      <w:pPr>
        <w:spacing w:after="0" w:line="95"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establish collaborations in lieu of obtaining additional financing;</w:t>
      </w:r>
    </w:p>
    <w:p>
      <w:pPr>
        <w:spacing w:after="0" w:line="94"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government laws and regulations;</w:t>
      </w:r>
    </w:p>
    <w:p>
      <w:pPr>
        <w:spacing w:after="0" w:line="94" w:lineRule="exact"/>
        <w:rPr>
          <w:rFonts w:ascii="Symbol" w:cs="Symbol" w:eastAsia="Symbol" w:hAnsi="Symbol"/>
          <w:sz w:val="20"/>
          <w:szCs w:val="20"/>
          <w:color w:val="auto"/>
        </w:rPr>
      </w:pPr>
    </w:p>
    <w:p>
      <w:pPr>
        <w:ind w:left="1080" w:hanging="353"/>
        <w:spacing w:after="0"/>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financial performance; and</w:t>
      </w:r>
    </w:p>
    <w:p>
      <w:pPr>
        <w:spacing w:after="0" w:line="95" w:lineRule="exact"/>
        <w:rPr>
          <w:rFonts w:ascii="Symbol" w:cs="Symbol" w:eastAsia="Symbol" w:hAnsi="Symbol"/>
          <w:sz w:val="20"/>
          <w:szCs w:val="20"/>
          <w:color w:val="auto"/>
        </w:rPr>
      </w:pPr>
    </w:p>
    <w:p>
      <w:pPr>
        <w:ind w:left="1080" w:right="640" w:hanging="353"/>
        <w:spacing w:after="0" w:line="251" w:lineRule="auto"/>
        <w:tabs>
          <w:tab w:leader="none" w:pos="10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the time during which we will be a smaller reporting company under the Exchange Act.</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Any forward-looking statements that we make in this Annual Report on Form 10-K speak only as of the date of such statement, and we undertake no obligation to update such statements to reflect events or circumstances after the date of this Annual Report on Form 10-K. You should also read carefully the factors described in the “Risk Factors” included in Part I, Item 1A of this Annual Report to better understand significant risks and uncertainties inherent in our business and underlying any forward-looking statements. As a result of these factors, we cannot assure you that the forward-looking statements in this Annual Report on Form 10-K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w:t>
      </w:r>
    </w:p>
    <w:p>
      <w:pPr>
        <w:spacing w:after="0" w:line="177"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20"/>
          <w:szCs w:val="20"/>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6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This Form 10-K may include trademarks, tradenames, and service marks that are the property of other organizations. Solely for convenience, our trademarks and tradenames referred to in this Form 10 -K may appear without the ® and ™ symbols, but those references are not intended to indicate, in any way, that we will not assert, to the fullest extent under applicable law, our rights, or the right of the applicable licensor to these trademarks and tradenames.</w:t>
      </w:r>
    </w:p>
    <w:p>
      <w:pPr>
        <w:sectPr>
          <w:pgSz w:w="11880" w:h="15480" w:orient="portrait"/>
          <w:cols w:equalWidth="0" w:num="1">
            <w:col w:w="9700"/>
          </w:cols>
          <w:pgMar w:left="1080" w:top="105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700"/>
          </w:cols>
          <w:pgMar w:left="1080" w:top="1057" w:right="1100" w:bottom="542"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are a clinical-stage precision medicine oncology company focused on the discovery and development of targeted therapies for patients with biomarker-defined cancers. Our approach focuses on matching treatments to specific cancer-related genetic mutations to potentially maximize effectiveness and minimize side effects. Specifically, we develop small molecule inhibitors designed to exploit genetic mutations in cancer to widen the therapeutic window and intended to make treatments more effective at destroying cancer cells while sparing healthy tissue. We have assembled a team with extensive experience in the discovery, development, and commercialization of oncology drugs to support our mission of developing novel synthetic lethality-based cancer therapeutics.</w:t>
      </w:r>
    </w:p>
    <w:p>
      <w:pPr>
        <w:spacing w:after="0" w:line="200"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Aprea Therapeutics AB was originally incorporated in 2002 and commenced principal operations in 2006. On September 20, 2019, we consummated a reorganization, pursuant to which all of the issued and outstanding stock and options of Aprea Therapeutics AB were exchanged for common stock, preferred stock or options, as applicable, of Aprea Therapeutics, Inc. As a result, Aprea Therapeutics AB became a wholly-owned subsidiary of Aprea Therapeutics, Inc.</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Prior to our acquisition of Atrin Pharmaceuticals Inc. (“Atrin”) in May 2022, we were engaged in the clinical development of cancer therapeutics that related to the mutant p53 tumor suppressor protein. Following our acquisition of Atrin, we enhanced our pipeline and shifted the focus of our activities to the assets acquired from Atrin and those developed in house.</w:t>
      </w:r>
    </w:p>
    <w:p>
      <w:pPr>
        <w:spacing w:after="0" w:line="19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believe that precision medicine has the potential to impact patients’ lives in a wide range of cancer types. Genomic instability is the hallmark or cancer. When a gene pathway is damaged or fails, related genes make up for its loss of function. Our approach is to inhibit these make up genes, thereby specifically killing cancer cells with defined mutations. This approach is called synthetic lethality. Using synthetic lethality, our product candidates are designed to selectively kill cancer cells while minimizing the effect on normal, unmutated cells, decreasing the toxicity usually associated with cancer treatment. We aspire to become a leader in this emerging field and are establishing a pipeline of clinical and preclinical programs that we believe may have broad applications to cancer treatment.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WEE1 Inhibitor: APR-1051</w:t>
      </w:r>
    </w:p>
    <w:p>
      <w:pPr>
        <w:spacing w:after="0" w:line="2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this program, we are targeting WEE1, a kinase that is a key regulator of multiple phases of the cell cycle. Our lead WEE1 inhibitor product candidate is APR -1051. In March 2024, our investigational new drug (“IND”) application for APR-1051 (IND 169359) went into effect and in the second quarter of 2024 we enrolled the first patient into ACESOT- 1051, our Phase 1 dose escalation study. A total of 9 cohorts are planned for ACESOT-1051 that will evaluate doses of 10 mg to 300 mg once daily. As of March 2, 2026, we are enrolling cohort 8 for ACESOT-1051 to evaluate a dose of 220 mg once daily. Preliminary results provide early clinical proof-of-concept of APR-1051. A potential dose-response trend was observed, with increasing single-agent activity across the 70 mg, 100 mg, 150 mg and 220 mg cohorts. On January 29, 2026, we announced the first unconfirmed partial response (uPR) observed in a patient enrolled in the ongoing Phase 1 ACESOT-1051 dose-escalation study: a patient with PPP2R1A-mutated uterine serous carcinoma, a form of endometrial cancer, treated at the 150 mg dose level of APR-1051. At the protocol-defined 8-week first imaging assessment, the patient achieved a 50% reduction in target lesion size per RECIST v1.1 criteria, along with a marked reduction in cancer antigen 125 (CA-125) levels, from 732 to 70 U/mL. CA-125 is a well-recognized tumor marker in endometrial cancer. On February 18, 2026, we announced the second uPR observed in a patient with PPP2R1A-mutated endometrial cancer, treated at the 220 mg dose level: at the first imaging assessment the patient achieved a 50% reduction in target lesion size, along with a marked decline in CA-125 from 362 at baseline to 47 U/mL, further supporting the anti-tumor activity of APR-1051.In addition, preliminary results from the ACESOT-1051 study indicate that APR-1051 has been safe and well-tolerated to date, supporting our development strategy to differentiate WEE1 inhibition through a potentially improved therapeutic index. Low therapeutic index has been a major hurdle in the development of WEE1 inhibitors. Active enrollment is ongoing at three sites in the U.S. (NCT06260514) with additional</w:t>
      </w:r>
    </w:p>
    <w:p>
      <w:pPr>
        <w:sectPr>
          <w:pgSz w:w="11880" w:h="15480" w:orient="portrait"/>
          <w:cols w:equalWidth="0" w:num="1">
            <w:col w:w="9700"/>
          </w:cols>
          <w:pgMar w:left="1080" w:top="1063" w:right="1100" w:bottom="542"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700"/>
          </w:cols>
          <w:pgMar w:left="1080" w:top="1063" w:right="1100" w:bottom="542" w:gutter="0" w:footer="0" w:header="0"/>
          <w:type w:val="continuous"/>
        </w:sectPr>
      </w:pPr>
    </w:p>
    <w:bookmarkStart w:id="5" w:name="page6"/>
    <w:bookmarkEnd w:id="5"/>
    <w:p>
      <w:pPr>
        <w:ind w:right="20"/>
        <w:spacing w:after="0" w:line="278" w:lineRule="auto"/>
        <w:rPr>
          <w:sz w:val="20"/>
          <w:szCs w:val="20"/>
          <w:color w:val="auto"/>
        </w:rPr>
      </w:pPr>
      <w:r>
        <w:rPr>
          <w:rFonts w:ascii="Times New Roman" w:cs="Times New Roman" w:eastAsia="Times New Roman" w:hAnsi="Times New Roman"/>
          <w:sz w:val="20"/>
          <w:szCs w:val="20"/>
          <w:color w:val="auto"/>
        </w:rPr>
        <w:t>sites planned. We anticipate additional open-label safety/efficacy data to be available in the second quarter of 2026. We expect to complete dose-escalation in the third quarter of 2026.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ATR Inhibitor: ATRN-119 (Mosipasertib)</w:t>
      </w:r>
    </w:p>
    <w:p>
      <w:pPr>
        <w:spacing w:after="0" w:line="11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Our second clinical-stage synthetic lethality product candidate is ATRN-119, an oral small molecule inhibitor of ataxia telangiectasia and Rad3-related, or ATR. The ATR kinase is a master regulator of the DNA damage response, with key roles in cell cycle control and DNA repair following replication stress. We have developed ATRN- 119, the first oral macrocyclic ATR inhibitor to enter clinical trials. On October 15, 2025, we announced that we had determined the recommended Phase 2 dose (RP2D) of 1,100 mg once daily for ATRN-119 in the ABOYA-119 Phase 1/2a dose-escalation study, in patients with advanced solid tumors. Building on the completion of dose escalation, we are considering further ATRN-119 development in combination approaches that could expand its therapeutic potential. We believe ATRN-119's mechanism of action, favorable safety profile, and pharmacologic characteristics make it an ideal candidate for combination with other anti-cancer therapies, including radiation therapy, antibody-drug conjugates (ADCs) and immune checkpoint inhibitors. We are currently in discussions with leading academic centers to explore combining ATRN-119 with radiation in patients with human papillomavirus–positive (HPV+) head and neck cancer. Additional investigator-led studies evaluating ATRN-119 in combination with an I/O agent and ADCs are also being explored. As part of this strategic focus, we have paused further enrollment in both once daily and twice daily monotherapy dosing arms of ABOYA-119 and started an orderly wind-down of certain clinical trial site activities associated with the monotherapy arms as we explore ATTN-119 in potential combination approaches.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P53 Reactivator: APR-246 (eprenetapopt)</w:t>
      </w:r>
    </w:p>
    <w:p>
      <w:pPr>
        <w:spacing w:after="0" w:line="23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We do not currently have any ongoing clinical trials involving our reactivator of mutant p53, which we were previously engaged in prior to our acquisition of Atrin.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DYRK1 Inhibitor: APR-1602</w:t>
      </w:r>
    </w:p>
    <w:p>
      <w:pPr>
        <w:spacing w:after="0" w:line="23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We also have an early-stage program, APR-1602, a macrocyclic DYRK1A/B inhibitor, that will be ready to enter IND-enabling studies in the fourth quarter of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24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are focused on delivering breakthrough therapies for cancers with high unmet medical need. Our two lead programs are APR-1051, a WEE1 inhibitor, and ATRN -119, an ATR inhibitor. Both compounds were discovered internally and are being developed by our experienced team of chemists, scientists, and clinicians. We believe our programs have the potential to advance innovative treatments for cancer patients with unmet medical needs and deliver meaningful impact to patients and generate long-term value for shareholders. In addition, our pipeline also includes a DYRK1 inhibitor, APR-1602, which is a preclinical program.</w:t>
      </w:r>
    </w:p>
    <w:p>
      <w:pPr>
        <w:sectPr>
          <w:pgSz w:w="11880" w:h="15480" w:orient="portrait"/>
          <w:cols w:equalWidth="0" w:num="1">
            <w:col w:w="9600"/>
          </w:cols>
          <w:pgMar w:left="1080" w:top="1066" w:right="12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600"/>
          </w:cols>
          <w:pgMar w:left="1080" w:top="1066" w:right="1200" w:bottom="542"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824230</wp:posOffset>
            </wp:positionH>
            <wp:positionV relativeFrom="page">
              <wp:posOffset>687070</wp:posOffset>
            </wp:positionV>
            <wp:extent cx="5882640" cy="2614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8264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43"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color w:val="auto"/>
        </w:rPr>
        <w:t>We aspire to be a leader in the emerging field of synthetic lethality-based precision oncology therapeutics. The key elements of our strategy are to:</w:t>
      </w:r>
    </w:p>
    <w:p>
      <w:pPr>
        <w:spacing w:after="0" w:line="181" w:lineRule="exact"/>
        <w:rPr>
          <w:sz w:val="20"/>
          <w:szCs w:val="20"/>
          <w:color w:val="auto"/>
        </w:rPr>
      </w:pPr>
    </w:p>
    <w:p>
      <w:pPr>
        <w:ind w:left="1080" w:hanging="353"/>
        <w:spacing w:after="0" w:line="243" w:lineRule="auto"/>
        <w:tabs>
          <w:tab w:leader="none" w:pos="10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Continue to efficiently develop our clinical-stage product candidate, APR-1051, an orally bioavailable small molecule inhibitor of WEE1. </w:t>
      </w:r>
      <w:r>
        <w:rPr>
          <w:rFonts w:ascii="Times New Roman" w:cs="Times New Roman" w:eastAsia="Times New Roman" w:hAnsi="Times New Roman"/>
          <w:sz w:val="20"/>
          <w:szCs w:val="20"/>
          <w:color w:val="auto"/>
        </w:rPr>
        <w:t>We are currently conducting a Phase 1 clinical trial evaluating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APR- 1051 in patients with biomarkers that may predict sensitivity to WEE1 inhibition. Cancers with those biomarkers represent a high unmet medical need. We are enrolling patients into part 1 of this clinical trial. The primary objectives of the Phase 1 study are to measure safety, dose-limiting toxicities (DLTs), maximum tolerated dose or maximum administered dose (MTD/MAD), and recommended Phase 2 dose (RP2D); secondary objectives are to evaluate pharmacokinetics, preliminary efficacy according to RECIST or PCWG3 criteria; pharmacodynamic parameters are exploratory objectives.</w:t>
      </w:r>
    </w:p>
    <w:p>
      <w:pPr>
        <w:spacing w:after="0" w:line="217" w:lineRule="exact"/>
        <w:rPr>
          <w:rFonts w:ascii="Symbol" w:cs="Symbol" w:eastAsia="Symbol" w:hAnsi="Symbol"/>
          <w:sz w:val="20"/>
          <w:szCs w:val="20"/>
          <w:color w:val="auto"/>
        </w:rPr>
      </w:pPr>
    </w:p>
    <w:p>
      <w:pPr>
        <w:ind w:left="1080" w:right="20" w:hanging="353"/>
        <w:spacing w:after="0" w:line="243" w:lineRule="auto"/>
        <w:tabs>
          <w:tab w:leader="none" w:pos="10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Continue to efficiently develop our clinical-stage product candidate, ATRN-119, an orally bioavailable small molecule inhibitor of ATR. </w:t>
      </w:r>
      <w:r>
        <w:rPr>
          <w:rFonts w:ascii="Times New Roman" w:cs="Times New Roman" w:eastAsia="Times New Roman" w:hAnsi="Times New Roman"/>
          <w:sz w:val="20"/>
          <w:szCs w:val="20"/>
          <w:color w:val="auto"/>
        </w:rPr>
        <w:t>We have recently determined the RP2D of ATRN-119 monotherapy in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Phase 1/2a clinical trial evaluating ATRN-119 in patients with advanced solid tumors having mutations in defined DDR-related genes. Based on the completion of dose escalation, we are considering further ATRN- 119 development in combination approaches that could expand its therapeutic potential. We are currently in discussions with leading academic centers to explore potential combinations of ATRN-119 with radiation, I/O agents or ADCs.</w:t>
      </w:r>
    </w:p>
    <w:p>
      <w:pPr>
        <w:spacing w:after="0" w:line="218" w:lineRule="exact"/>
        <w:rPr>
          <w:rFonts w:ascii="Symbol" w:cs="Symbol" w:eastAsia="Symbol" w:hAnsi="Symbol"/>
          <w:sz w:val="20"/>
          <w:szCs w:val="20"/>
          <w:color w:val="auto"/>
        </w:rPr>
      </w:pPr>
    </w:p>
    <w:p>
      <w:pPr>
        <w:ind w:left="1080" w:right="220" w:hanging="353"/>
        <w:spacing w:after="0" w:line="251" w:lineRule="auto"/>
        <w:tabs>
          <w:tab w:leader="none" w:pos="10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Identify opportunities for combination therapy regimens. </w:t>
      </w:r>
      <w:r>
        <w:rPr>
          <w:rFonts w:ascii="Times New Roman" w:cs="Times New Roman" w:eastAsia="Times New Roman" w:hAnsi="Times New Roman"/>
          <w:sz w:val="20"/>
          <w:szCs w:val="20"/>
          <w:color w:val="auto"/>
        </w:rPr>
        <w:t>We are also researching opportunities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combine product candidates in our pipeline with other therapies that may enhance synthetic lethality and potentially increase benefit to genetically defined populations of cancer patients.</w:t>
      </w:r>
    </w:p>
    <w:p>
      <w:pPr>
        <w:spacing w:after="0" w:line="207" w:lineRule="exact"/>
        <w:rPr>
          <w:rFonts w:ascii="Symbol" w:cs="Symbol" w:eastAsia="Symbol" w:hAnsi="Symbol"/>
          <w:sz w:val="20"/>
          <w:szCs w:val="20"/>
          <w:color w:val="auto"/>
        </w:rPr>
      </w:pPr>
    </w:p>
    <w:p>
      <w:pPr>
        <w:ind w:left="1080" w:right="40" w:hanging="353"/>
        <w:spacing w:after="0" w:line="247" w:lineRule="auto"/>
        <w:tabs>
          <w:tab w:leader="none" w:pos="10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Maximize the commercial opportunity of our product candidates across global markets. </w:t>
      </w:r>
      <w:r>
        <w:rPr>
          <w:rFonts w:ascii="Times New Roman" w:cs="Times New Roman" w:eastAsia="Times New Roman" w:hAnsi="Times New Roman"/>
          <w:sz w:val="20"/>
          <w:szCs w:val="20"/>
          <w:color w:val="auto"/>
        </w:rPr>
        <w:t>We currently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retain worldwide development and commercialization rights to all our product candidates. We may elect to selectively evaluate strategic partnership opportunities for our product candidates with partners whose development and commercial capabilities complement our own.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Approach</w:t>
      </w:r>
    </w:p>
    <w:p>
      <w:pPr>
        <w:spacing w:after="0" w:line="24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Our approach to the development of novel cancer therapies is based on a powerful biological phenomenon known as synthetic lethality. Synthetic lethality represents an emerging strategy to treat a broad spectrum of cancers that currently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680"/>
          </w:cols>
          <w:pgMar w:left="1080" w:top="1440" w:right="1120" w:bottom="542" w:gutter="0" w:footer="0" w:header="0"/>
        </w:sectPr>
      </w:pPr>
    </w:p>
    <w:bookmarkStart w:id="7" w:name="page8"/>
    <w:bookmarkEnd w:id="7"/>
    <w:p>
      <w:pPr>
        <w:spacing w:after="0" w:line="278" w:lineRule="auto"/>
        <w:rPr>
          <w:sz w:val="20"/>
          <w:szCs w:val="20"/>
          <w:color w:val="auto"/>
        </w:rPr>
      </w:pPr>
      <w:r>
        <w:rPr>
          <w:rFonts w:ascii="Times New Roman" w:cs="Times New Roman" w:eastAsia="Times New Roman" w:hAnsi="Times New Roman"/>
          <w:sz w:val="20"/>
          <w:szCs w:val="20"/>
          <w:color w:val="auto"/>
        </w:rPr>
        <w:t>lack effective treatments. Our focus is the application of synthetic lethality in the DDR pathway to effect selective killing of cancer cells while sparing normal cells.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Background on Synthetic Lethality</w:t>
      </w:r>
    </w:p>
    <w:p>
      <w:pPr>
        <w:spacing w:after="0" w:line="237"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auto"/>
        </w:rPr>
        <w:t>First described in 1922, the concept of synthetic lethality describes biological observations wherein mutations in a pair of genes result in cell death, but mutations in either gene alone do not. Cancer is a genetically driven collection of diseases in which mutations in the genome allow cells to bypass the normal checks and balances that control cell replication. Frequently, these mutations occur in genes that have critical roles in metabolism and DNA repair. While mutations in such genes may permit cells to survive, it is possible that mutation in a second gene, or loss of function resulting from pharmacologic inhibition, may trigger cancer cell death if the two genes are synthetically lethal.</w:t>
      </w:r>
    </w:p>
    <w:p>
      <w:pPr>
        <w:spacing w:after="0" w:line="20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first clinical validation of synthetic lethality for cancer treatment was with BRCA1/2 mutations and PARP inhibition. BRCA1 and BRCA2 are proteins with key roles in the repair of DNA double-strand breaks (DSBs), one of the most lethal DNA lesions. BRCA1/2 mediate homologous recombination (HR), the major mechanism of DSB repair. When there is a loss of function in BRCA1/2, then cells become more dependent on PARP to prevent the formation of DSBs. If in this context PARP function is inhibited, then BRCA1/2 mutated cancer cells die. In other words, BRCA1/2 mutation and PARP inhibition are synthetically lethal. In contrast, normal cells with functional BRCA1/2 are spared. There are currently multiple PARP inhibitors approved by FDA for the treatment of various solid tumors with BRCA1/2 dysfunction.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136525</wp:posOffset>
            </wp:positionV>
            <wp:extent cx="5812790" cy="281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5812790" cy="281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Background on DDR</w:t>
      </w:r>
    </w:p>
    <w:p>
      <w:pPr>
        <w:spacing w:after="0" w:line="2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Cells are continuously exposed to endogenous and exogenous stress that can lead to DNA damage. To counter this lethal threat, cells have mechanisms to detect DNA damage, activate the appropriate repair pathway or, if irreparable, induce cell cycle arrest or apoptosis. These DDR processes are vital for cell survival.</w:t>
      </w:r>
    </w:p>
    <w:p>
      <w:pPr>
        <w:spacing w:after="0" w:line="18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Cancer cells rely on various alternative pathways to repair and resist DNA damage and replication stress. Many of these DDR-related genes are mutated across cancers, as loss of the DDR pathway allows cancer cells to rapidly evolve and grow out of control. Notably, functional loss of these pathways also creates a vulnerability in these cancers because mutation or loss of some DDR genes increases reliance on other DDR genes to support continued cancer cell growth. When mutation or loss of function of two DDR genes leads to cell death, the interplay between these genes is synthetic lethality. Importantly, selective targeting of specific members of the DDR pathway represents an attractive potential therapeutic approach for the treatment of cancer. Furthermore, because genes that are mutated in cancers continue to</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720"/>
          </w:cols>
          <w:pgMar w:left="1080" w:top="1066" w:right="1080" w:bottom="542" w:gutter="0" w:footer="0" w:header="0"/>
          <w:type w:val="continuous"/>
        </w:sectPr>
      </w:pPr>
    </w:p>
    <w:bookmarkStart w:id="8" w:name="page9"/>
    <w:bookmarkEnd w:id="8"/>
    <w:p>
      <w:pPr>
        <w:ind w:right="740"/>
        <w:spacing w:after="0" w:line="278" w:lineRule="auto"/>
        <w:rPr>
          <w:sz w:val="20"/>
          <w:szCs w:val="20"/>
          <w:color w:val="auto"/>
        </w:rPr>
      </w:pPr>
      <w:r>
        <w:rPr>
          <w:rFonts w:ascii="Times New Roman" w:cs="Times New Roman" w:eastAsia="Times New Roman" w:hAnsi="Times New Roman"/>
          <w:sz w:val="20"/>
          <w:szCs w:val="20"/>
          <w:color w:val="auto"/>
        </w:rPr>
        <w:t>function normally in healthy tissues, this treatment approach can potentially reduce drug-induced toxicity while maintaining anti-cancer activity.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Development of Highly Precise Cancer Therapies by Blocking DNA Repair, While Sparing Healthy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165100</wp:posOffset>
            </wp:positionV>
            <wp:extent cx="4864735" cy="1469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4864735" cy="146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WEE1 Inhibitors in Advanced Solid Tumors</w:t>
      </w:r>
    </w:p>
    <w:p>
      <w:pPr>
        <w:spacing w:after="0" w:line="238"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0"/>
          <w:szCs w:val="20"/>
          <w:color w:val="auto"/>
        </w:rPr>
        <w:t>We are advancing our clinical-stage WEE1 inhibitor, APR-1051, for patients having tumors with mutations in PPP2R1A, FBXW7 or with increased expression of Cyclin E1 (“CCNE1”), among other genetic and/or molecular signatures.</w:t>
      </w:r>
    </w:p>
    <w:p>
      <w:pPr>
        <w:spacing w:after="0" w:line="1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WEE1 kinase is a key regulator of multiple phases of the cell cycle, most prominently in progression from G1 to S phase and from G2 to M phase through inhibitory phosphorylation of CDK2 and CDK1, respectively. Thus, when WEE1 is inhibited, both G1-S and G2-M checkpoints are abrogated, leading to premature S-phase and M-phase entry. Notably, the replication stress caused by CCNE1 overexpression is transformed into toxic levels of DSBs and cancer cell death when WEE1 is inhibited. These findings suggest CCNE1 overexpression is a cancer-associated vulnerability that may be used to sensitize these cancers to WEE1 inhibitors.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APR-1051 Potential Differentiation and Preclinical Data</w:t>
      </w:r>
    </w:p>
    <w:p>
      <w:pPr>
        <w:spacing w:after="0" w:line="23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9"/>
          <w:szCs w:val="19"/>
          <w:color w:val="auto"/>
        </w:rPr>
        <w:t>Several WEE1 inhibitors in development by other companies have been and are currently being evaluated in clinical trials. WEE1 has been proven as a clinically validated target in various clinical studies. However, competitor WEE1 inhibitors have been associated with significant grade ≥3 hematological, gastrointestinal and cardiovascular toxicities.</w:t>
      </w:r>
    </w:p>
    <w:p>
      <w:pPr>
        <w:spacing w:after="0" w:line="1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have developed a highly potent and selective inhibitor of WEE1, APR-1051, that has the potential to become the best-in-class WEE1 inhibitor. We believe that APR-1051 is potentially differentiated from other WEE1 inhibitors in its:</w:t>
      </w:r>
    </w:p>
    <w:p>
      <w:pPr>
        <w:spacing w:after="0" w:line="1" w:lineRule="exact"/>
        <w:rPr>
          <w:sz w:val="20"/>
          <w:szCs w:val="20"/>
          <w:color w:val="auto"/>
        </w:rPr>
      </w:pPr>
    </w:p>
    <w:p>
      <w:pPr>
        <w:ind w:right="320" w:firstLine="7"/>
        <w:spacing w:after="0" w:line="249" w:lineRule="auto"/>
        <w:tabs>
          <w:tab w:leader="none" w:pos="21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molecular structure; 2) selectivity for WEE1 versus off-target inhibition of the polo-like kinase, or PLK, family of kinases; and 3) potential absence of QT prolongation at doses that significantly inhibit WEE1.</w:t>
      </w:r>
    </w:p>
    <w:p>
      <w:pPr>
        <w:spacing w:after="0" w:line="19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preclinical biochemical studies, we have observed high potency of APR-1051 for inhibition of WEE1, with an IC50 of approximately 1.6 nM; however, even when tested at a very high relative concentration of 1 µM, APR-1051 did not appreciably inhibit PLK1 (17%), PLK2 (33%) or PLK3 (12%). We believe that this high selectivity for WEE1 over PLK1, PLK2 and PLK3 is an important differentiating attribute of APR-1051 versus some of the other WEE1 inhibitors in development.</w:t>
      </w:r>
    </w:p>
    <w:p>
      <w:pPr>
        <w:spacing w:after="0" w:line="197"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color w:val="auto"/>
        </w:rPr>
        <w:t>Head-to-head studies of APR-1051 versus the oral WEE1 inhibitors ZN-c3 (Azenosertib, Zentalis) and AZD-1775 (Adavosertib, Astra Zeneca) have not been conducted.</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680"/>
          </w:cols>
          <w:pgMar w:left="1080" w:top="1066" w:right="1120" w:bottom="542"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 xml:space="preserve">APR-1051 Does Not Substantially Off-target PLK1, PLK2 or PLK3 and Comparison to ZN-c3 </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127635</wp:posOffset>
            </wp:positionV>
            <wp:extent cx="4712335" cy="1905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4712335" cy="190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In vitro kinase IC50 determination of APR-1051 vs. ZN-c3: APR-1051 IC50 values show &gt;150-fold, &gt;50- fold, and &gt;600-fold IC50 values compared to ZN-c3 for PLK1, PLK2, and PLK3, respectively, potentially showing higher selectivity</w:t>
      </w:r>
    </w:p>
    <w:p>
      <w:pPr>
        <w:spacing w:after="0" w:line="146" w:lineRule="exact"/>
        <w:rPr>
          <w:sz w:val="20"/>
          <w:szCs w:val="20"/>
          <w:color w:val="auto"/>
        </w:rPr>
      </w:pPr>
    </w:p>
    <w:p>
      <w:pPr>
        <w:ind w:left="100" w:hanging="93"/>
        <w:spacing w:after="0"/>
        <w:tabs>
          <w:tab w:leader="none" w:pos="100"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AACR-NCI-EORTC Meeting, Poster B323, 2024</w:t>
      </w:r>
    </w:p>
    <w:p>
      <w:pPr>
        <w:spacing w:after="0" w:line="20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color w:val="auto"/>
        </w:rPr>
        <w:t>In addition to the potential safety issues associated with PLK1 inhibition, in an in-vitro study we showed that PLK1 inhibition reduces the expected molecular effects of WEE1 inhibitor on phos-H2AX and phos-CDK1, hence we believe that minimal PLK1 co-inhibition enables full therapeutic potential of APR-1051.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PLK1 Inhibition Reduces the Molecular Effects of WEE1 Inhibitors in Cells</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53340</wp:posOffset>
            </wp:positionV>
            <wp:extent cx="5840095" cy="2334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5840095" cy="233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color w:val="auto"/>
        </w:rPr>
        <w:t>Dose range of a PLK inhibitor GSK-461364 in combination with a single dose of APR-1051 in OVCAR3 cells suggests interference with the genotoxic effects of WEE1 inhibition (pH2AX). Western blot suggests that the PLK inhibitors, GSK-461364 and BI-2536 interfere with APR- 1051’s ability to increase pH2AX</w:t>
      </w:r>
    </w:p>
    <w:p>
      <w:pPr>
        <w:ind w:left="100" w:hanging="93"/>
        <w:spacing w:after="0" w:line="197" w:lineRule="auto"/>
        <w:tabs>
          <w:tab w:leader="none" w:pos="10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AACR-NCI-EORTC Meeting, Poster B323, 2024</w:t>
      </w:r>
    </w:p>
    <w:p>
      <w:pPr>
        <w:spacing w:after="0" w:line="2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As part of our preclinical studies with APR-1051, we conducted a CDX mouse model study using the CCNE1- amplified ovarian cancer cell line OVCAR3. In this study we injected female mice (N=7 per group) with tumor cells and waited for tumor volume to reach approximately 150 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9"/>
          <w:szCs w:val="19"/>
          <w:color w:val="auto"/>
        </w:rPr>
        <w:t xml:space="preserve"> before initiating daily administration over a period of 28 days with</w:t>
      </w:r>
    </w:p>
    <w:p>
      <w:pPr>
        <w:sectPr>
          <w:pgSz w:w="11880" w:h="15480" w:orient="portrait"/>
          <w:cols w:equalWidth="0" w:num="1">
            <w:col w:w="9660"/>
          </w:cols>
          <w:pgMar w:left="1080" w:top="1063" w:right="11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660"/>
          </w:cols>
          <w:pgMar w:left="1080" w:top="1063" w:right="1140" w:bottom="542" w:gutter="0" w:footer="0" w:header="0"/>
          <w:type w:val="continuous"/>
        </w:sectPr>
      </w:pPr>
    </w:p>
    <w:bookmarkStart w:id="10" w:name="page11"/>
    <w:bookmarkEnd w:id="10"/>
    <w:p>
      <w:pPr>
        <w:ind w:right="380"/>
        <w:spacing w:after="0" w:line="278" w:lineRule="auto"/>
        <w:rPr>
          <w:sz w:val="20"/>
          <w:szCs w:val="20"/>
          <w:color w:val="auto"/>
        </w:rPr>
      </w:pPr>
      <w:r>
        <w:rPr>
          <w:rFonts w:ascii="Times New Roman" w:cs="Times New Roman" w:eastAsia="Times New Roman" w:hAnsi="Times New Roman"/>
          <w:sz w:val="20"/>
          <w:szCs w:val="20"/>
          <w:color w:val="auto"/>
        </w:rPr>
        <w:t>vehicle administered orally or an exploratory formulation of APR-1051 administered orally at 30 mg/kg/day. In this model we observed strong tumor growth inhibition when APR-1051 was administered at 30 mg/kg/day.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APR-1051 Exhibits Strong Tumor Control in CCNE1-Overexpressing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161925</wp:posOffset>
            </wp:positionV>
            <wp:extent cx="4870450" cy="3352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4870450" cy="335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20"/>
          <w:szCs w:val="20"/>
          <w:color w:val="auto"/>
        </w:rPr>
        <w:t>In addition, pre-clinical results from an ongoing translational research collaboration with renowned oncology leader MD Anderson Cancer Center support the potential of APR-1051 both as a single agent and in rational immunotherapy combinations in HPV+ head and neck squamous cell carcinoma (HNSCC). APR-1051 demonstrated robust antiproliferative single-agent effects across a broad panel of human and murine head and neck cancer cell lines, including HPV+ subtypes, with IC</w:t>
      </w:r>
      <w:r>
        <w:rPr>
          <w:rFonts w:ascii="MS PMincho" w:cs="MS PMincho" w:eastAsia="MS PMincho" w:hAnsi="MS PMincho"/>
          <w:sz w:val="20"/>
          <w:szCs w:val="20"/>
          <w:color w:val="auto"/>
        </w:rPr>
        <w:t>₅₀</w:t>
      </w:r>
      <w:r>
        <w:rPr>
          <w:rFonts w:ascii="Times New Roman" w:cs="Times New Roman" w:eastAsia="Times New Roman" w:hAnsi="Times New Roman"/>
          <w:sz w:val="20"/>
          <w:szCs w:val="20"/>
          <w:color w:val="auto"/>
        </w:rPr>
        <w:t xml:space="preserve"> values ranging from 8.9 to 230 nM. Significant anti-tumor synergy was observed with APR-1051 in combination with anti–PD-1 therapies, as well as in combination with cisplatin in HPV+ HNSCC animal models, positioning APR-1051 as a potential candidate for combination-based clinical trials.</w:t>
      </w:r>
    </w:p>
    <w:p>
      <w:pPr>
        <w:sectPr>
          <w:pgSz w:w="11880" w:h="15480" w:orient="portrait"/>
          <w:cols w:equalWidth="0" w:num="1">
            <w:col w:w="9660"/>
          </w:cols>
          <w:pgMar w:left="1080" w:top="1066" w:right="11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660"/>
          </w:cols>
          <w:pgMar w:left="1080" w:top="1066" w:right="1140" w:bottom="542"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APR-1051 Potentiates the Immune Response to Checkpoint Inhibitors in an HPV+ HNSCC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164465</wp:posOffset>
            </wp:positionV>
            <wp:extent cx="2627630" cy="1840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2627630" cy="184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APR-1051 Synergizes with Cisplatin in Another HPV+ HNSCC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163830</wp:posOffset>
            </wp:positionV>
            <wp:extent cx="2480945" cy="2249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2480945" cy="224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preclinical mice studies, APR-1051 has also demonstrated potentially favorable pharmacokinetic properties as assessed by the area under the curve, or AUC, a commonly used measure of drug exposure. Head -to-head studies of APR -1051 versus the oral ZN-c3 and AZD -1775 have not been conducted; however, data for the ZN-c3 and AZD-1775 have been previously disclosed by Zentalis and suggest that APR-1051 may have potentially advantageous drug exposure.</w:t>
      </w:r>
    </w:p>
    <w:p>
      <w:pPr>
        <w:sectPr>
          <w:pgSz w:w="11880" w:h="15480" w:orient="portrait"/>
          <w:cols w:equalWidth="0" w:num="1">
            <w:col w:w="9600"/>
          </w:cols>
          <w:pgMar w:left="1080" w:top="1063" w:right="12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600"/>
          </w:cols>
          <w:pgMar w:left="1080" w:top="1063" w:right="1200" w:bottom="54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APR-1051 Pre-Clinical Data Highlight Potentially Favorable Pharmacokinetic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161290</wp:posOffset>
            </wp:positionV>
            <wp:extent cx="5821680" cy="2072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82168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addition, QT prolongation has been reported with competitor WEE1 inhibitors developed by other companies. APR- 1051 showed negligible inhibition of hERG channels, which may indicate a lower likelihood of QT prolongation at doses expected to achieve meaningful WEE1 inhibition.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APR-1051 Exhibits Substantially Lower Inhibition of hERG than of WEE1</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80645</wp:posOffset>
            </wp:positionV>
            <wp:extent cx="6065520" cy="1718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065520" cy="171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AACR-NCI-EORTC Meeting, Poster B323,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APR-1051 Clinical Trial</w:t>
      </w:r>
    </w:p>
    <w:p>
      <w:pPr>
        <w:spacing w:after="0" w:line="2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March 2024, our IND for APR-1051 (IND 169359) went into effect and in the second quarter of 2024 we enrolled the first patient into ACESOT-1051 (a Multi-Center Evaluation of WEE1 Inhibitor in Patients with Advanced Solid Tumors, APR-1051). The study is evaluating APR-1051 for monotherapy treatment of solid tumors harboring deleterious mutations in FBXW7 or PPP2R1A, overexpressing Cyclin E, colorectal cancer with KRAS GLY12 or GLY13 and TP53 co-mutation, patients with HPV+ oropharyngeal squamous cell carcinoma, or cervical, vaginal, or vulvar squamous cell carcinoma, as well as patients with uterine serous carcinoma, regardless of biomarker status. The primary objectives of this Phase 1 study are to measure safety, dose-limiting toxicities (DLTs), maximum tolerated dose or maximum administered dose (MTD/MAD), and recommended Phase 2 dose (RP2D); secondary objectives are to evaluate pharmacokinetics and preliminary efficacy according to RECIST Version 1.1 or PCWG3 criteria; exploratory objectives are to evaluate pharmacodynamic parameters. A total of 9 cohorts are planned for ACESOT -1051 that will evaluate doses of 10 mg to 300 mg once daily (higher doses are permitted if indicated). As of March 2, 2026, we are enrolling cohort 8 for ACESOT-1051 to evaluate a dose of 220 mg once daily. In addition, we intend to enroll additional patients as backfill cohorts, in order to obtain further safety, efficacy and PK data. Active enrollment is ongoing at three sites in the U.S. (NCT06260514) with additional sites planned. Up to 130 patients are planned to be enrolled in this Phase 1 study, including up to 50 patients in the dose-escalation Part 1 and up to additional 80 patients in the dose-optimization</w:t>
      </w:r>
    </w:p>
    <w:p>
      <w:pPr>
        <w:sectPr>
          <w:pgSz w:w="11880" w:h="15480" w:orient="portrait"/>
          <w:cols w:equalWidth="0" w:num="1">
            <w:col w:w="9700"/>
          </w:cols>
          <w:pgMar w:left="1080" w:top="1063"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700"/>
          </w:cols>
          <w:pgMar w:left="1080" w:top="1063" w:right="1100" w:bottom="542"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color w:val="auto"/>
        </w:rPr>
        <w:t>Part 2 of the study. We anticipate additional open-label safety/efficacy data to be available in the second quarter of 2026.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expect to complete the dose-escalation part of this study in the third quarter of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ACESOT-1051: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161925</wp:posOffset>
            </wp:positionV>
            <wp:extent cx="5858510" cy="2883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5858510" cy="288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Higher doses permitted if indicated</w:t>
      </w:r>
    </w:p>
    <w:p>
      <w:pPr>
        <w:spacing w:after="0" w:line="23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Preliminary results provide early clinical proof-of -concept of APR-1051. On January 29, 2026, we announced the first uPR observed in a patient enrolled in the ongoing Phase 1 ACESOT -1051 dose-escalation study: a patient with PPP2R1A-mutated uterine serous carcinoma, a form of endometrial cancer, treated at the 150 mg dose level of APR- 1051. At the protocol-defined 8 -week first imaging assessment, the patient achieved a 50% reduction in target lesion size per RECIST v1.1 criteria, along with a marked reduction in cancer antigen 125 (CA-125) levels, from 732 to 70 U/mL. CA-125 is a well-recognized tumor marker in endometrial cancer. On February 18, 2026, we announced the second uPR observed in a patient with PPP2R1A-mutated endometrial cancer, treated at the 220 mg dose level: at the first imaging assessment the patient achieved a 50% reduction in target lesion size, along with a marked decline in CA- 125 from 362 at baseline to 47 U/mL, further supporting the anti-tumor activity of APR-1051.</w:t>
      </w:r>
    </w:p>
    <w:p>
      <w:pPr>
        <w:spacing w:after="0" w:line="20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Five more patients in ACESOT-1051 have achieved stable disease in earlier cohorts of the ACESOT-1051 study, including a 5% reduction in tumor burden at the 70 mg dose in a patient with HPV+ HNSCC and a 15% reduction in a patient with FBXW7-mutated colon cancer treated at the 100 mg dose level. Two additional patients at the 100 mg dose and another patient treated at the 150 mg dose level achieved stable disease at the first follow-up imaging assessment.</w:t>
      </w:r>
    </w:p>
    <w:p>
      <w:pPr>
        <w:spacing w:after="0" w:line="19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Collectively, these findings suggest that APR-1051 may have therapeutic potential across a range of solid tumors, with a potential dose-response trend.</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680"/>
          </w:cols>
          <w:pgMar w:left="1080" w:top="1066" w:right="1120" w:bottom="542"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ACESOT-1051 Clinical Trial, Summary of Duration of Treatment (N=23)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161290</wp:posOffset>
            </wp:positionV>
            <wp:extent cx="5559425" cy="2956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555942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ACESOT-1051 Clinical Trial, Safety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Preliminary results indicate that APR-1051 is safe and well-tolerated.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Treatment Related AEs in Patients Treated With APR-1051, as of February 18, 2026 (N=23):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160020</wp:posOffset>
            </wp:positionV>
            <wp:extent cx="5212080" cy="2889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212080"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believe that the emerging clinical proof of concept responses, together with the potential dose-response trend that was observed with increasing single-agent activity across lower doses, and without class-limiting toxicity to date, support our development strategy of differentiated WEE1 inhibition through a potentially improved therapeutic index (TI), as low TI has been a major hurdle in the development of WEE1 inhibitors.</w:t>
      </w:r>
    </w:p>
    <w:p>
      <w:pPr>
        <w:sectPr>
          <w:pgSz w:w="11880" w:h="15480" w:orient="portrait"/>
          <w:cols w:equalWidth="0" w:num="1">
            <w:col w:w="9400"/>
          </w:cols>
          <w:pgMar w:left="1080" w:top="1063" w:right="1400" w:bottom="542"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400"/>
          </w:cols>
          <w:pgMar w:left="1080" w:top="1063" w:right="1400" w:bottom="54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auto"/>
        </w:rPr>
        <w:t>ATR Inhibitors in Advanced Solid Tumors</w:t>
      </w:r>
    </w:p>
    <w:p>
      <w:pPr>
        <w:spacing w:after="0" w:line="23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color w:val="auto"/>
        </w:rPr>
        <w:t xml:space="preserve">Our second clinical-stage synthetic lethality product candidate is ATRN-119 </w:t>
      </w:r>
      <w:r>
        <w:rPr>
          <w:rFonts w:ascii="Times New Roman" w:cs="Times New Roman" w:eastAsia="Times New Roman" w:hAnsi="Times New Roman"/>
          <w:sz w:val="20"/>
          <w:szCs w:val="20"/>
          <w:i w:val="1"/>
          <w:iCs w:val="1"/>
          <w:u w:val="single" w:color="auto"/>
          <w:color w:val="auto"/>
        </w:rPr>
        <w:t>(Mosipasertib)</w:t>
      </w:r>
      <w:r>
        <w:rPr>
          <w:rFonts w:ascii="Times New Roman" w:cs="Times New Roman" w:eastAsia="Times New Roman" w:hAnsi="Times New Roman"/>
          <w:sz w:val="20"/>
          <w:szCs w:val="20"/>
          <w:color w:val="auto"/>
        </w:rPr>
        <w:t>, an ATR inhibitor for patients with solid tumors having defined genetic mutations in DDR-related genes.</w:t>
      </w:r>
    </w:p>
    <w:p>
      <w:pPr>
        <w:spacing w:after="0" w:line="16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Ataxia Telangiectasia and Rad3- related (ATR) and Checkpoint Kinase 1 (CHK1) are critical DNA damage response kinases that prevent the collapse of replication forks into DSBs. ATR is one of several key regulators of the response to defective DNA replication and DNA damage, which occurs more commonly in cancer cells than in normal cells.</w:t>
      </w:r>
    </w:p>
    <w:p>
      <w:pPr>
        <w:spacing w:after="0" w:line="18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response to these cancer-associated genomic insults, ATR is activated to inhibit progression to cellular division and prevent the assembly of the SLX1 -SLX4, MUS81-EME1 and XPF-ERCC1 (SMX) endonuclease (DNA cutting) complex. When ATR is inhibited, the SMX complex is inappropriately activated, promoting the cutting of replication forks into DSBs. In association with ATR’s fundamental roles in these replication responses, cells with increased oncogenic stress, p53 mutations and deficiencies in DDR pathways are predicted to have increased sensitivity to ATR inhibition. Accordingly, ATR inhibition is also predicted to sensitize cells to DNA-damaging chemotherapy, radiotherapy, and PARP inhibitor treatments, making ATR inhibitors particularly attractive for the development of novel combination therapies.</w:t>
      </w:r>
    </w:p>
    <w:p>
      <w:pPr>
        <w:spacing w:after="0" w:line="20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We have developed a highly potent and selective macrocyclic inhibitor of ATR, ATRN-119, the first oral macrocyclic ATR inhibitor to enter clinical trials. On October 15, 2025, we announced that we had determined the recommended Phase 2 dose (RP2D) of ATRN-119 in the ABOYA-119 Phase 1/2a dose-escalation study, in patients with advanced solid tumors.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ATRN-119 </w:t>
      </w:r>
      <w:r>
        <w:rPr>
          <w:rFonts w:ascii="Times New Roman" w:cs="Times New Roman" w:eastAsia="Times New Roman" w:hAnsi="Times New Roman"/>
          <w:sz w:val="20"/>
          <w:szCs w:val="20"/>
          <w:i w:val="1"/>
          <w:iCs w:val="1"/>
          <w:u w:val="single" w:color="auto"/>
          <w:color w:val="auto"/>
        </w:rPr>
        <w:t>(Mosipasertib)</w:t>
      </w:r>
      <w:r>
        <w:rPr>
          <w:rFonts w:ascii="Times New Roman" w:cs="Times New Roman" w:eastAsia="Times New Roman" w:hAnsi="Times New Roman"/>
          <w:sz w:val="20"/>
          <w:szCs w:val="20"/>
          <w:i w:val="1"/>
          <w:iCs w:val="1"/>
          <w:color w:val="auto"/>
        </w:rPr>
        <w:t xml:space="preserve"> Preclinical Data</w:t>
      </w:r>
    </w:p>
    <w:p>
      <w:pPr>
        <w:spacing w:after="0" w:line="2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ATRN-119 is a macrocycle and is structurally dissimilar to three oral ATR inhibitors for which chemical structures have been disclosed: AZD-6738 (AstraZeneca), BAY1895344 (Bayer), and RP-3500 (Repare). The macrocyclic structure of ATRN-119 was designed to restrict the conformational freedom of the molecule, or ability to rotate freely around certain chemical bonds, which may reduce its ability to bind off-target proteins, resulting in potentially increased tolerability, hence permitting higher efficacious drug dosing. Consistent with this hypothesis, ATRN-119 has demonstrated increased selectivity for ATR versus related members of the PIKK family of kinases, including ataxia-telangiectasia mutated (ATM), DNA-dependent protein kinase (DNA-PK) and mammalian target of rapamycin (mTOR). In preclinical studies, we have observed a high potency of ATRN-119 for inhibition of ATR, with an IC50 of approximately 4 nM, whereas the IC50 of ATRN-119 is significantly higher for off-target inhibition of ATM (&gt;600-fold), DNA-PK (&gt;2000 -fold) and mTOR (&gt;2000-fold). Selectivity for ATR over other kinases, including PIKKs, may potentially limit toxicity from off-target inhibition. Comprehensive in-vitro head-to-head studies of ATRN-119 versus the oral ATR inhibitors AZD -6738, BAY1895344, and RP-3500 have not been conducted, but data for these other ATR inhibitors have been reported in peer-reviewed scientific publications.</w:t>
      </w:r>
    </w:p>
    <w:p>
      <w:pPr>
        <w:sectPr>
          <w:pgSz w:w="11880" w:h="15480" w:orient="portrait"/>
          <w:cols w:equalWidth="0" w:num="1">
            <w:col w:w="9700"/>
          </w:cols>
          <w:pgMar w:left="1080" w:top="1069"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700"/>
          </w:cols>
          <w:pgMar w:left="1080" w:top="1069" w:right="1100" w:bottom="542"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75"/>
        </w:trPr>
        <w:tc>
          <w:tcPr>
            <w:tcW w:w="662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ATRN-119 Displays High Selectivity for ATR Versus Related PIKK Kinases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On Target Cellular IC</w:t>
            </w:r>
            <w:r>
              <w:rPr>
                <w:rFonts w:ascii="Times New Roman" w:cs="Times New Roman" w:eastAsia="Times New Roman" w:hAnsi="Times New Roman"/>
                <w:sz w:val="12"/>
                <w:szCs w:val="12"/>
                <w:b w:val="1"/>
                <w:bCs w:val="1"/>
                <w:color w:val="auto"/>
              </w:rPr>
              <w:t>50</w:t>
            </w:r>
          </w:p>
        </w:tc>
        <w:tc>
          <w:tcPr>
            <w:tcW w:w="80" w:type="dxa"/>
            <w:vAlign w:val="bottom"/>
          </w:tcPr>
          <w:p>
            <w:pPr>
              <w:spacing w:after="0"/>
              <w:rPr>
                <w:sz w:val="24"/>
                <w:szCs w:val="24"/>
                <w:color w:val="auto"/>
              </w:rPr>
            </w:pPr>
          </w:p>
        </w:tc>
        <w:tc>
          <w:tcPr>
            <w:tcW w:w="4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9"/>
              </w:rPr>
              <w:t>Fold Difference in IC</w:t>
            </w:r>
            <w:r>
              <w:rPr>
                <w:rFonts w:ascii="Times New Roman" w:cs="Times New Roman" w:eastAsia="Times New Roman" w:hAnsi="Times New Roman"/>
                <w:sz w:val="12"/>
                <w:szCs w:val="12"/>
                <w:b w:val="1"/>
                <w:bCs w:val="1"/>
                <w:color w:val="auto"/>
                <w:w w:val="99"/>
              </w:rPr>
              <w:t>50</w:t>
            </w:r>
            <w:r>
              <w:rPr>
                <w:rFonts w:ascii="Times New Roman" w:cs="Times New Roman" w:eastAsia="Times New Roman" w:hAnsi="Times New Roman"/>
                <w:sz w:val="20"/>
                <w:szCs w:val="20"/>
                <w:b w:val="1"/>
                <w:bCs w:val="1"/>
                <w:color w:val="auto"/>
                <w:w w:val="99"/>
              </w:rPr>
              <w:t xml:space="preserve"> for Off-Target PIKK Inhibition</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gridSpan w:val="2"/>
          </w:tcPr>
          <w:p>
            <w:pPr>
              <w:jc w:val="center"/>
              <w:ind w:right="680"/>
              <w:spacing w:after="0" w:line="190" w:lineRule="exact"/>
              <w:rPr>
                <w:sz w:val="20"/>
                <w:szCs w:val="20"/>
                <w:color w:val="auto"/>
              </w:rPr>
            </w:pPr>
            <w:r>
              <w:rPr>
                <w:rFonts w:ascii="Times New Roman" w:cs="Times New Roman" w:eastAsia="Times New Roman" w:hAnsi="Times New Roman"/>
                <w:sz w:val="20"/>
                <w:szCs w:val="20"/>
                <w:b w:val="1"/>
                <w:bCs w:val="1"/>
                <w:color w:val="auto"/>
                <w:w w:val="96"/>
              </w:rPr>
              <w:t>(nM)</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b w:val="1"/>
                <w:bCs w:val="1"/>
                <w:color w:val="auto"/>
              </w:rPr>
              <w:t>ATM</w:t>
            </w: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DNA-PK</w:t>
            </w:r>
          </w:p>
        </w:tc>
        <w:tc>
          <w:tcPr>
            <w:tcW w:w="172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mTOR</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ATR</w:t>
            </w:r>
          </w:p>
        </w:tc>
        <w:tc>
          <w:tcPr>
            <w:tcW w:w="82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gridSpan w:val="3"/>
            <w:vMerge w:val="continue"/>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Aprea: ATRN-119</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 . . . . . .</w:t>
            </w:r>
          </w:p>
        </w:tc>
        <w:tc>
          <w:tcPr>
            <w:tcW w:w="60" w:type="dxa"/>
            <w:vAlign w:val="bottom"/>
          </w:tcPr>
          <w:p>
            <w:pPr>
              <w:spacing w:after="0"/>
              <w:rPr>
                <w:sz w:val="17"/>
                <w:szCs w:val="17"/>
                <w:color w:val="auto"/>
              </w:rPr>
            </w:pPr>
          </w:p>
        </w:tc>
        <w:tc>
          <w:tcPr>
            <w:tcW w:w="1240" w:type="dxa"/>
            <w:vAlign w:val="bottom"/>
            <w:gridSpan w:val="2"/>
          </w:tcPr>
          <w:p>
            <w:pPr>
              <w:jc w:val="center"/>
              <w:ind w:left="720"/>
              <w:spacing w:after="0" w:line="198" w:lineRule="exact"/>
              <w:rPr>
                <w:sz w:val="20"/>
                <w:szCs w:val="20"/>
                <w:color w:val="auto"/>
              </w:rPr>
            </w:pPr>
            <w:r>
              <w:rPr>
                <w:rFonts w:ascii="Times New Roman" w:cs="Times New Roman" w:eastAsia="Times New Roman" w:hAnsi="Times New Roman"/>
                <w:sz w:val="20"/>
                <w:szCs w:val="20"/>
                <w:color w:val="auto"/>
                <w:w w:val="99"/>
              </w:rPr>
              <w:t>4</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660" w:type="dxa"/>
            <w:vAlign w:val="bottom"/>
          </w:tcPr>
          <w:p>
            <w:pPr>
              <w:jc w:val="center"/>
              <w:ind w:right="260"/>
              <w:spacing w:after="0" w:line="198" w:lineRule="exact"/>
              <w:rPr>
                <w:sz w:val="20"/>
                <w:szCs w:val="20"/>
                <w:color w:val="auto"/>
              </w:rPr>
            </w:pPr>
            <w:r>
              <w:rPr>
                <w:rFonts w:ascii="Times New Roman" w:cs="Times New Roman" w:eastAsia="Times New Roman" w:hAnsi="Times New Roman"/>
                <w:sz w:val="20"/>
                <w:szCs w:val="20"/>
                <w:color w:val="auto"/>
              </w:rPr>
              <w:t>&gt; 600x</w:t>
            </w:r>
          </w:p>
        </w:tc>
        <w:tc>
          <w:tcPr>
            <w:tcW w:w="132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20"/>
                <w:szCs w:val="20"/>
                <w:color w:val="auto"/>
                <w:w w:val="99"/>
              </w:rPr>
              <w:t>&gt; 2000x</w:t>
            </w: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rPr>
              <w:t>&gt; 2000x</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right w:val="single" w:sz="8" w:color="auto"/>
            </w:tcBorders>
          </w:tcPr>
          <w:p>
            <w:pPr>
              <w:spacing w:after="0" w:line="230" w:lineRule="exact"/>
              <w:rPr>
                <w:sz w:val="20"/>
                <w:szCs w:val="20"/>
                <w:color w:val="auto"/>
              </w:rPr>
            </w:pPr>
            <w:r>
              <w:rPr>
                <w:rFonts w:ascii="Times New Roman" w:cs="Times New Roman" w:eastAsia="Times New Roman" w:hAnsi="Times New Roman"/>
                <w:sz w:val="20"/>
                <w:szCs w:val="20"/>
                <w:b w:val="1"/>
                <w:bCs w:val="1"/>
                <w:color w:val="auto"/>
              </w:rPr>
              <w:t>AstraZeneca: AZD-6738</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w:t>
            </w:r>
          </w:p>
        </w:tc>
        <w:tc>
          <w:tcPr>
            <w:tcW w:w="60" w:type="dxa"/>
            <w:vAlign w:val="bottom"/>
          </w:tcPr>
          <w:p>
            <w:pPr>
              <w:spacing w:after="0"/>
              <w:rPr>
                <w:sz w:val="20"/>
                <w:szCs w:val="20"/>
                <w:color w:val="auto"/>
              </w:rPr>
            </w:pPr>
          </w:p>
        </w:tc>
        <w:tc>
          <w:tcPr>
            <w:tcW w:w="1240" w:type="dxa"/>
            <w:vAlign w:val="bottom"/>
            <w:gridSpan w:val="2"/>
          </w:tcPr>
          <w:p>
            <w:pPr>
              <w:jc w:val="center"/>
              <w:ind w:left="700"/>
              <w:spacing w:after="0"/>
              <w:rPr>
                <w:sz w:val="20"/>
                <w:szCs w:val="20"/>
                <w:color w:val="auto"/>
              </w:rPr>
            </w:pPr>
            <w:r>
              <w:rPr>
                <w:rFonts w:ascii="Times New Roman" w:cs="Times New Roman" w:eastAsia="Times New Roman" w:hAnsi="Times New Roman"/>
                <w:sz w:val="20"/>
                <w:szCs w:val="20"/>
                <w:color w:val="auto"/>
                <w:w w:val="99"/>
              </w:rPr>
              <w:t>74</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66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rPr>
              <w:t>&gt; 400x</w:t>
            </w:r>
          </w:p>
        </w:tc>
        <w:tc>
          <w:tcPr>
            <w:tcW w:w="16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9"/>
              </w:rPr>
              <w:t>&gt; 400x</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 – 310x</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right w:val="single" w:sz="8" w:color="auto"/>
            </w:tcBorders>
          </w:tcPr>
          <w:p>
            <w:pPr>
              <w:spacing w:after="0" w:line="232" w:lineRule="exact"/>
              <w:rPr>
                <w:sz w:val="20"/>
                <w:szCs w:val="20"/>
                <w:color w:val="auto"/>
              </w:rPr>
            </w:pPr>
            <w:r>
              <w:rPr>
                <w:rFonts w:ascii="Times New Roman" w:cs="Times New Roman" w:eastAsia="Times New Roman" w:hAnsi="Times New Roman"/>
                <w:sz w:val="20"/>
                <w:szCs w:val="20"/>
                <w:b w:val="1"/>
                <w:bCs w:val="1"/>
                <w:color w:val="auto"/>
              </w:rPr>
              <w:t>Bayer: BAY1895344</w:t>
            </w:r>
            <w:r>
              <w:rPr>
                <w:rFonts w:ascii="Times New Roman" w:cs="Times New Roman" w:eastAsia="Times New Roman" w:hAnsi="Times New Roman"/>
                <w:sz w:val="25"/>
                <w:szCs w:val="25"/>
                <w:b w:val="1"/>
                <w:bCs w:val="1"/>
                <w:color w:val="auto"/>
                <w:vertAlign w:val="superscript"/>
              </w:rPr>
              <w:t>(3)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w:t>
            </w:r>
          </w:p>
        </w:tc>
        <w:tc>
          <w:tcPr>
            <w:tcW w:w="60" w:type="dxa"/>
            <w:vAlign w:val="bottom"/>
          </w:tcPr>
          <w:p>
            <w:pPr>
              <w:spacing w:after="0"/>
              <w:rPr>
                <w:sz w:val="20"/>
                <w:szCs w:val="20"/>
                <w:color w:val="auto"/>
              </w:rPr>
            </w:pPr>
          </w:p>
        </w:tc>
        <w:tc>
          <w:tcPr>
            <w:tcW w:w="1240" w:type="dxa"/>
            <w:vAlign w:val="bottom"/>
            <w:gridSpan w:val="2"/>
          </w:tcPr>
          <w:p>
            <w:pPr>
              <w:jc w:val="center"/>
              <w:ind w:left="700"/>
              <w:spacing w:after="0"/>
              <w:rPr>
                <w:sz w:val="20"/>
                <w:szCs w:val="20"/>
                <w:color w:val="auto"/>
              </w:rPr>
            </w:pPr>
            <w:r>
              <w:rPr>
                <w:rFonts w:ascii="Times New Roman" w:cs="Times New Roman" w:eastAsia="Times New Roman" w:hAnsi="Times New Roman"/>
                <w:sz w:val="20"/>
                <w:szCs w:val="20"/>
                <w:color w:val="auto"/>
                <w:w w:val="99"/>
              </w:rPr>
              <w:t>36</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66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39x</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540"/>
              <w:spacing w:after="0"/>
              <w:rPr>
                <w:sz w:val="20"/>
                <w:szCs w:val="20"/>
                <w:color w:val="auto"/>
              </w:rPr>
            </w:pPr>
            <w:r>
              <w:rPr>
                <w:rFonts w:ascii="Times New Roman" w:cs="Times New Roman" w:eastAsia="Times New Roman" w:hAnsi="Times New Roman"/>
                <w:sz w:val="20"/>
                <w:szCs w:val="20"/>
                <w:color w:val="auto"/>
                <w:w w:val="99"/>
              </w:rPr>
              <w:t>9x</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61x</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spacing w:after="0" w:line="253" w:lineRule="exact"/>
              <w:rPr>
                <w:sz w:val="20"/>
                <w:szCs w:val="20"/>
                <w:color w:val="auto"/>
              </w:rPr>
            </w:pPr>
            <w:r>
              <w:rPr>
                <w:rFonts w:ascii="Times New Roman" w:cs="Times New Roman" w:eastAsia="Times New Roman" w:hAnsi="Times New Roman"/>
                <w:sz w:val="20"/>
                <w:szCs w:val="20"/>
                <w:b w:val="1"/>
                <w:bCs w:val="1"/>
                <w:color w:val="auto"/>
                <w:w w:val="99"/>
              </w:rPr>
              <w:t>Repare: RP-3500</w:t>
            </w:r>
            <w:r>
              <w:rPr>
                <w:rFonts w:ascii="Times New Roman" w:cs="Times New Roman" w:eastAsia="Times New Roman" w:hAnsi="Times New Roman"/>
                <w:sz w:val="25"/>
                <w:szCs w:val="25"/>
                <w:b w:val="1"/>
                <w:bCs w:val="1"/>
                <w:color w:val="auto"/>
                <w:w w:val="99"/>
                <w:vertAlign w:val="superscript"/>
              </w:rPr>
              <w:t>(4)</w:t>
            </w:r>
            <w:r>
              <w:rPr>
                <w:rFonts w:ascii="Times New Roman" w:cs="Times New Roman" w:eastAsia="Times New Roman" w:hAnsi="Times New Roman"/>
                <w:sz w:val="20"/>
                <w:szCs w:val="20"/>
                <w:b w:val="1"/>
                <w:bCs w:val="1"/>
                <w:color w:val="auto"/>
                <w:w w:val="99"/>
              </w:rPr>
              <w:t xml:space="preserve"> </w:t>
            </w:r>
            <w:r>
              <w:rPr>
                <w:rFonts w:ascii="Times New Roman" w:cs="Times New Roman" w:eastAsia="Times New Roman" w:hAnsi="Times New Roman"/>
                <w:sz w:val="20"/>
                <w:szCs w:val="20"/>
                <w:color w:val="auto"/>
                <w:w w:val="99"/>
              </w:rPr>
              <w:t>. . . . . . . . . .</w:t>
            </w:r>
          </w:p>
        </w:tc>
        <w:tc>
          <w:tcPr>
            <w:tcW w:w="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left="720"/>
              <w:spacing w:after="0"/>
              <w:rPr>
                <w:sz w:val="20"/>
                <w:szCs w:val="20"/>
                <w:color w:val="auto"/>
              </w:rPr>
            </w:pPr>
            <w:r>
              <w:rPr>
                <w:rFonts w:ascii="Times New Roman" w:cs="Times New Roman" w:eastAsia="Times New Roman" w:hAnsi="Times New Roman"/>
                <w:sz w:val="20"/>
                <w:szCs w:val="20"/>
                <w:color w:val="auto"/>
                <w:w w:val="97"/>
              </w:rPr>
              <w:t>0.33</w:t>
            </w:r>
          </w:p>
        </w:tc>
        <w:tc>
          <w:tcPr>
            <w:tcW w:w="6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20"/>
                <w:szCs w:val="20"/>
                <w:color w:val="auto"/>
              </w:rPr>
              <w:t>&gt; 20000x</w:t>
            </w: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20"/>
                <w:szCs w:val="20"/>
                <w:color w:val="auto"/>
                <w:w w:val="99"/>
              </w:rPr>
              <w:t>&gt; 20000x</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3094990</wp:posOffset>
                </wp:positionH>
                <wp:positionV relativeFrom="paragraph">
                  <wp:posOffset>-905510</wp:posOffset>
                </wp:positionV>
                <wp:extent cx="31115" cy="1206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115" cy="12065"/>
                        </a:xfrm>
                        <a:prstGeom prst="rect">
                          <a:avLst/>
                        </a:prstGeom>
                        <a:solidFill>
                          <a:srgbClr val="000000"/>
                        </a:solidFill>
                      </wps:spPr>
                      <wps:bodyPr/>
                    </wps:wsp>
                  </a:graphicData>
                </a:graphic>
              </wp:anchor>
            </w:drawing>
          </mc:Choice>
          <mc:Fallback>
            <w:pict>
              <v:rect id="Shape 18" o:spid="_x0000_s1043" style="position:absolute;margin-left:243.7pt;margin-top:-71.2999pt;width:2.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91" w:lineRule="exact"/>
        <w:rPr>
          <w:sz w:val="20"/>
          <w:szCs w:val="20"/>
          <w:color w:val="auto"/>
        </w:rPr>
      </w:pPr>
    </w:p>
    <w:p>
      <w:pPr>
        <w:ind w:left="720" w:hanging="353"/>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ATRN-119 data from HCT116 – Bcl/XL cell line</w:t>
      </w:r>
    </w:p>
    <w:p>
      <w:pPr>
        <w:spacing w:after="0" w:line="27"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Foote et al (2018), </w:t>
      </w:r>
      <w:r>
        <w:rPr>
          <w:rFonts w:ascii="Times New Roman" w:cs="Times New Roman" w:eastAsia="Times New Roman" w:hAnsi="Times New Roman"/>
          <w:sz w:val="20"/>
          <w:szCs w:val="20"/>
          <w:i w:val="1"/>
          <w:iCs w:val="1"/>
          <w:color w:val="auto"/>
        </w:rPr>
        <w:t>J Med Chem</w:t>
      </w:r>
    </w:p>
    <w:p>
      <w:pPr>
        <w:ind w:left="720" w:hanging="353"/>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Lücking et al (2020), </w:t>
      </w:r>
      <w:r>
        <w:rPr>
          <w:rFonts w:ascii="Times New Roman" w:cs="Times New Roman" w:eastAsia="Times New Roman" w:hAnsi="Times New Roman"/>
          <w:sz w:val="20"/>
          <w:szCs w:val="20"/>
          <w:i w:val="1"/>
          <w:iCs w:val="1"/>
          <w:color w:val="auto"/>
        </w:rPr>
        <w:t>J Med Chem</w:t>
      </w:r>
    </w:p>
    <w:p>
      <w:pPr>
        <w:ind w:left="720" w:hanging="353"/>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Roulston et al (2022), </w:t>
      </w:r>
      <w:r>
        <w:rPr>
          <w:rFonts w:ascii="Times New Roman" w:cs="Times New Roman" w:eastAsia="Times New Roman" w:hAnsi="Times New Roman"/>
          <w:sz w:val="20"/>
          <w:szCs w:val="20"/>
          <w:i w:val="1"/>
          <w:iCs w:val="1"/>
          <w:color w:val="auto"/>
        </w:rPr>
        <w:t>Mol Cancer Ther</w:t>
      </w:r>
    </w:p>
    <w:p>
      <w:pPr>
        <w:spacing w:after="0" w:line="21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9"/>
          <w:szCs w:val="19"/>
          <w:color w:val="auto"/>
        </w:rPr>
        <w:t>We observed ATRN-119 to have a potentially favorable tolerability profile across our preclinical studies and animal models. As part of our preclinical studies with ATRN-119, we conducted cell line-derived xenograft, or CDX, mouse model studies, using the colon cancer cell line HCT-116 (mutated KRAS, p53 null). In this study we injected female mice (N=4 per group) with tumor cells and waited for tumor volume to reach approximately 150 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9"/>
          <w:szCs w:val="19"/>
          <w:color w:val="auto"/>
        </w:rPr>
        <w:t xml:space="preserve"> before initiating daily administration over a period of 17 days with vehicle administered orally; ATRN-119 administered orally at</w:t>
      </w:r>
    </w:p>
    <w:p>
      <w:pPr>
        <w:spacing w:after="0" w:line="242" w:lineRule="auto"/>
        <w:rPr>
          <w:sz w:val="20"/>
          <w:szCs w:val="20"/>
          <w:color w:val="auto"/>
        </w:rPr>
      </w:pPr>
      <w:r>
        <w:rPr>
          <w:rFonts w:ascii="Times New Roman" w:cs="Times New Roman" w:eastAsia="Times New Roman" w:hAnsi="Times New Roman"/>
          <w:sz w:val="20"/>
          <w:szCs w:val="20"/>
          <w:color w:val="auto"/>
        </w:rPr>
        <w:t>100 mg/kg/day; ATRN-157 (an active metabolite of ATRN-119 with comparable potency and selectivity to the parent compound) was administered subcutaneously at 20 mg/kg/day; or a competitor ATR inhibitor administered orally at 25 mg/kg/day. In this study, both ATRN-119 and ATRN-157 demonstrated statistically significant tumor growth inhibition as compared to vehicle control and smaller tumor volume than measured in mice receiving the competitor ATR inhibitor. Body weight loss, as a measurement of tolerability, was negligible across all groups of mice in this study.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ATRN-119 Halts Tumor Progression and Causes No Obvious Toxicity in KRAS-Mutant, p53-Null CDX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167640</wp:posOffset>
            </wp:positionV>
            <wp:extent cx="6031865" cy="192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03186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Data from clinical trials testing the oral ATR inhibitors BAY1895344, ART0380 and RP-3500 have been presented and support preclinical observation of synthetic lethality between ATR inhibitors and ATM-deficient cancers. In addition, data from various clinical trials with oral ATR inhibitors demonstrated responses in patients with tumors having mutations in ARID1A, CDK12, RAD51C and BRCA1/2. We believe these data are encouraging and indicate that additional DDR-related mutations may be synthetic lethal with ATR inhibitors.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ATRN-119 </w:t>
      </w:r>
      <w:r>
        <w:rPr>
          <w:rFonts w:ascii="Times New Roman" w:cs="Times New Roman" w:eastAsia="Times New Roman" w:hAnsi="Times New Roman"/>
          <w:sz w:val="20"/>
          <w:szCs w:val="20"/>
          <w:i w:val="1"/>
          <w:iCs w:val="1"/>
          <w:u w:val="single" w:color="auto"/>
          <w:color w:val="auto"/>
        </w:rPr>
        <w:t>(Mosipasertib)</w:t>
      </w:r>
      <w:r>
        <w:rPr>
          <w:rFonts w:ascii="Times New Roman" w:cs="Times New Roman" w:eastAsia="Times New Roman" w:hAnsi="Times New Roman"/>
          <w:sz w:val="20"/>
          <w:szCs w:val="20"/>
          <w:i w:val="1"/>
          <w:iCs w:val="1"/>
          <w:color w:val="auto"/>
        </w:rPr>
        <w:t xml:space="preserve"> Clinical Trial</w:t>
      </w:r>
    </w:p>
    <w:p>
      <w:pPr>
        <w:spacing w:after="0" w:line="23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In our open-label Phase 1/2a clinical trial of ATRN-119 as monotherapy, we enrolled patients with advanced solid tumors having at least one mutation in a defined panel of DDR-related genes. In the monotherapy dose escalation phase (Part 1) of our trial, the primary endpoint was evaluating the tolerability and pharmacokinetics of continuous daily oral dosing of ATRN-119 using a 3+3 trial design in up to approximately 72 patients (up to 54 patients dosed once-daily and</w:t>
      </w:r>
    </w:p>
    <w:p>
      <w:pPr>
        <w:sectPr>
          <w:pgSz w:w="11880" w:h="15480" w:orient="portrait"/>
          <w:cols w:equalWidth="0" w:num="1">
            <w:col w:w="9700"/>
          </w:cols>
          <w:pgMar w:left="1080" w:top="1063" w:right="1100" w:bottom="542"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700"/>
          </w:cols>
          <w:pgMar w:left="1080" w:top="1063" w:right="1100" w:bottom="542" w:gutter="0" w:footer="0" w:header="0"/>
          <w:type w:val="continuous"/>
        </w:sectPr>
      </w:pPr>
    </w:p>
    <w:bookmarkStart w:id="17" w:name="page18"/>
    <w:bookmarkEnd w:id="17"/>
    <w:p>
      <w:pPr>
        <w:ind w:right="160"/>
        <w:spacing w:after="0" w:line="246" w:lineRule="auto"/>
        <w:rPr>
          <w:sz w:val="20"/>
          <w:szCs w:val="20"/>
          <w:color w:val="auto"/>
        </w:rPr>
      </w:pPr>
      <w:r>
        <w:rPr>
          <w:rFonts w:ascii="Times New Roman" w:cs="Times New Roman" w:eastAsia="Times New Roman" w:hAnsi="Times New Roman"/>
          <w:sz w:val="20"/>
          <w:szCs w:val="20"/>
          <w:color w:val="auto"/>
        </w:rPr>
        <w:t>up to 18 patients dosed twice-daily). A secondary endpoint was evaluating potential initial efficacy. An efficacy evaluation was performed every eight weeks. On October 15, 2025, we announced that we had determined the recommended Phase 2 dose (RP2D) of 1,100 mg once daily for ATRN-119 monotherapy. Based on the completion of dose escalation, we are considering further ATRN-119 development in combination approaches that could expand its therapeutic potential. We believe that ATRN-119's mechanism of action, favorable safety profile, and pharmacological characteristics make it an ideal candidate for combination with DNA-damaging agents, including radiation therapy, antibody-drug conjugates and with immune checkpoint inhibitors.</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part of this strategic focus, we have paused further enrollment in both once daily and twice daily monotherapy dosing arms of ABOYA-119 and started an orderly wind-down of certain clinical trial site activities associated with the monotherapy arms as we explore ATTN-119 in potential combination approaches.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Phase 1/2a Clinical Trial of ATRN-119 </w:t>
      </w:r>
      <w:r>
        <w:rPr>
          <w:rFonts w:ascii="Times New Roman" w:cs="Times New Roman" w:eastAsia="Times New Roman" w:hAnsi="Times New Roman"/>
          <w:sz w:val="20"/>
          <w:szCs w:val="20"/>
          <w:b w:val="1"/>
          <w:bCs w:val="1"/>
          <w:i w:val="1"/>
          <w:iCs w:val="1"/>
          <w:u w:val="single" w:color="auto"/>
          <w:color w:val="auto"/>
        </w:rPr>
        <w:t>(Mosipasertib)</w:t>
      </w:r>
      <w:r>
        <w:rPr>
          <w:rFonts w:ascii="Times New Roman" w:cs="Times New Roman" w:eastAsia="Times New Roman" w:hAnsi="Times New Roman"/>
          <w:sz w:val="20"/>
          <w:szCs w:val="20"/>
          <w:b w:val="1"/>
          <w:bCs w:val="1"/>
          <w:color w:val="auto"/>
        </w:rPr>
        <w:t xml:space="preserve"> as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161290</wp:posOffset>
            </wp:positionV>
            <wp:extent cx="5937250" cy="2810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5937250" cy="281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Phase 1 dose-escalation study, ATRN-119 demonstrated:</w:t>
      </w:r>
    </w:p>
    <w:p>
      <w:pPr>
        <w:spacing w:after="0" w:line="19" w:lineRule="exact"/>
        <w:rPr>
          <w:sz w:val="20"/>
          <w:szCs w:val="20"/>
          <w:color w:val="auto"/>
        </w:rPr>
      </w:pPr>
    </w:p>
    <w:p>
      <w:pPr>
        <w:ind w:left="720" w:hanging="353"/>
        <w:spacing w:after="0"/>
        <w:tabs>
          <w:tab w:leader="none" w:pos="72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Favorable tolerability profile with manageable adverse events at the RP2D of 1,100 mg once daily</w:t>
      </w:r>
    </w:p>
    <w:p>
      <w:pPr>
        <w:spacing w:after="0" w:line="17" w:lineRule="exact"/>
        <w:rPr>
          <w:rFonts w:ascii="Symbol" w:cs="Symbol" w:eastAsia="Symbol" w:hAnsi="Symbol"/>
          <w:sz w:val="20"/>
          <w:szCs w:val="20"/>
          <w:color w:val="auto"/>
        </w:rPr>
      </w:pPr>
    </w:p>
    <w:p>
      <w:pPr>
        <w:ind w:left="720" w:hanging="353"/>
        <w:spacing w:after="0"/>
        <w:tabs>
          <w:tab w:leader="none" w:pos="72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Preliminary signs of clinical activity in biomarker-selected populations – 8 stable disease cases</w:t>
      </w:r>
    </w:p>
    <w:p>
      <w:pPr>
        <w:ind w:left="720" w:hanging="353"/>
        <w:spacing w:after="0" w:line="238" w:lineRule="auto"/>
        <w:tabs>
          <w:tab w:leader="none" w:pos="72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Durable disease stabilization in heavily pretreated patients across multiple tumor types</w:t>
      </w:r>
    </w:p>
    <w:p>
      <w:pPr>
        <w:ind w:left="720" w:hanging="353"/>
        <w:spacing w:after="0"/>
        <w:tabs>
          <w:tab w:leader="none" w:pos="72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Dose-proportional pharmacokinetics supporting once-daily dosing</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680"/>
          </w:cols>
          <w:pgMar w:left="1080" w:top="1066" w:right="1120" w:bottom="542"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 xml:space="preserve">ATRN-119 </w:t>
      </w:r>
      <w:r>
        <w:rPr>
          <w:rFonts w:ascii="Times New Roman" w:cs="Times New Roman" w:eastAsia="Times New Roman" w:hAnsi="Times New Roman"/>
          <w:sz w:val="20"/>
          <w:szCs w:val="20"/>
          <w:b w:val="1"/>
          <w:bCs w:val="1"/>
          <w:i w:val="1"/>
          <w:iCs w:val="1"/>
          <w:u w:val="single" w:color="auto"/>
          <w:color w:val="auto"/>
        </w:rPr>
        <w:t>(Mosipasertib),</w:t>
      </w:r>
      <w:r>
        <w:rPr>
          <w:rFonts w:ascii="Times New Roman" w:cs="Times New Roman" w:eastAsia="Times New Roman" w:hAnsi="Times New Roman"/>
          <w:sz w:val="20"/>
          <w:szCs w:val="20"/>
          <w:b w:val="1"/>
          <w:bCs w:val="1"/>
          <w:color w:val="auto"/>
        </w:rPr>
        <w:t xml:space="preserve"> Phase 1/2a Safety Results</w:t>
      </w:r>
    </w:p>
    <w:p>
      <w:pPr>
        <w:spacing w:after="0" w:line="2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0"/>
          <w:szCs w:val="20"/>
          <w:b w:val="1"/>
          <w:bCs w:val="1"/>
          <w:color w:val="auto"/>
        </w:rPr>
        <w:t>Treatment Related AEs Reported in ≥ 2 Patients and/or any Grade ≥ 3 in Patients Treated With ATRN-119 QD as of February 26, 2026 (N=33):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106680</wp:posOffset>
            </wp:positionV>
            <wp:extent cx="5937250" cy="2627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5937250" cy="262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ATRN-119 </w:t>
      </w:r>
      <w:r>
        <w:rPr>
          <w:rFonts w:ascii="Times New Roman" w:cs="Times New Roman" w:eastAsia="Times New Roman" w:hAnsi="Times New Roman"/>
          <w:sz w:val="20"/>
          <w:szCs w:val="20"/>
          <w:b w:val="1"/>
          <w:bCs w:val="1"/>
          <w:i w:val="1"/>
          <w:iCs w:val="1"/>
          <w:u w:val="single" w:color="auto"/>
          <w:color w:val="auto"/>
        </w:rPr>
        <w:t>(Mosipasertib)</w:t>
      </w:r>
      <w:r>
        <w:rPr>
          <w:rFonts w:ascii="Times New Roman" w:cs="Times New Roman" w:eastAsia="Times New Roman" w:hAnsi="Times New Roman"/>
          <w:sz w:val="20"/>
          <w:szCs w:val="20"/>
          <w:b w:val="1"/>
          <w:bCs w:val="1"/>
          <w:color w:val="auto"/>
        </w:rPr>
        <w:t>, Phase 1/2a, Summary of Duration of Treatment</w:t>
      </w:r>
    </w:p>
    <w:p>
      <w:pPr>
        <w:spacing w:after="0" w:line="23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A total of eight stable disease patients were observed in the dose escalation Phase 1 trial, four at the QD cohorts and 4 at the BID cohorts:</w:t>
      </w:r>
    </w:p>
    <w:p>
      <w:pPr>
        <w:sectPr>
          <w:pgSz w:w="11880" w:h="15480" w:orient="portrait"/>
          <w:cols w:equalWidth="0" w:num="1">
            <w:col w:w="9640"/>
          </w:cols>
          <w:pgMar w:left="1080" w:top="1062" w:right="116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640"/>
          </w:cols>
          <w:pgMar w:left="1080" w:top="1062" w:right="1160" w:bottom="542"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Duration Of Treatment for Patients Dosed QD (N=33)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161290</wp:posOffset>
            </wp:positionV>
            <wp:extent cx="5696585" cy="2956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569658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Opportunities for Combination of ATRN-119 </w:t>
      </w:r>
      <w:r>
        <w:rPr>
          <w:rFonts w:ascii="Times New Roman" w:cs="Times New Roman" w:eastAsia="Times New Roman" w:hAnsi="Times New Roman"/>
          <w:sz w:val="20"/>
          <w:szCs w:val="20"/>
          <w:i w:val="1"/>
          <w:iCs w:val="1"/>
          <w:u w:val="single" w:color="auto"/>
          <w:color w:val="auto"/>
        </w:rPr>
        <w:t>(Mosipasertib</w:t>
      </w:r>
      <w:r>
        <w:rPr>
          <w:rFonts w:ascii="Times New Roman" w:cs="Times New Roman" w:eastAsia="Times New Roman" w:hAnsi="Times New Roman"/>
          <w:sz w:val="20"/>
          <w:szCs w:val="20"/>
          <w:i w:val="1"/>
          <w:iCs w:val="1"/>
          <w:color w:val="auto"/>
        </w:rPr>
        <w:t>) with Other Therapies</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Combinations of anti-cancer agents have the potential to interact synergistically. This synergy can potentially augment efficacy over monotherapy regimens and reduce the risk of drug resistance. We believe that our ATRN-119 could potentially interact synergistically with various anti-cancer agents, including PARP inhibitors, WEE1 inhibitors, radiopharmaceuticals, chemotherapies, ADCs and immunotherapies. In a preclinical study, we evaluated ATRN-119 and the PARP inhibitor olaparib as both monotherapies and a combination therapy in a patient-derived xenograft, or PDX, ovarian cancer mouse model. Mice were first transplanted with patient-derived BRCA2 deficient ovarian cancer tumor material. When tumors grew to approximately 100 mm</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the mice were dosed (N=6-8 per group) with vehicle, olaparib at 50 mg/kg/day, ATRN-119 at 90 mg/kg twice daily, or the combination of the two agents at the same doses and schedules. In this study, ATRN-119 and olaparib monotherapies demonstrated comparable tumor growth inhibition. However, the combination of ATRN-119 + olaparib demonstrated statistically significant tumor growth inhibition compared to either single agent or vehicle control. Body weight loss, as a measurement of tolerability, was negligible in the mice receiving any of these regimens.</w:t>
      </w:r>
    </w:p>
    <w:p>
      <w:pPr>
        <w:spacing w:after="0" w:line="206"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0"/>
          <w:szCs w:val="20"/>
          <w:color w:val="auto"/>
        </w:rPr>
        <w:t>We are currently in discussions with leading academic centers to explore combining ATRN-119 with radiation in patients with HPV+ head and neck cancer. Additional investigator-led studies evaluating ATRN-119 in combination with an I/O agent and antibody-drug conjugates (ADCs) are also being explored.</w:t>
      </w:r>
    </w:p>
    <w:p>
      <w:pPr>
        <w:sectPr>
          <w:pgSz w:w="11880" w:h="15480" w:orient="portrait"/>
          <w:cols w:equalWidth="0" w:num="1">
            <w:col w:w="9680"/>
          </w:cols>
          <w:pgMar w:left="1080" w:top="1063"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680"/>
          </w:cols>
          <w:pgMar w:left="1080" w:top="1063" w:right="1120" w:bottom="542"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ATRN-119 + Olaparib Combination Drives Regression and No Serious Toxicity in BRCA2-deficient PDX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161290</wp:posOffset>
            </wp:positionV>
            <wp:extent cx="6053455" cy="2853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6053455" cy="285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DYRK1A/B Inhibitor, APR-1602</w:t>
      </w:r>
    </w:p>
    <w:p>
      <w:pPr>
        <w:spacing w:after="0" w:line="23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We also have an early preclinical program, in which a first generation macrocyclic lead candidate was selected. We plan to have APR-1602 ready to enter IND-enabling studies during the fourth quarter of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currently contract with third parties for the manufacture of our product candidates for certain preclinical studies and clinical trial materials, including raw materials and consumables necessary for their manufacture, consistent with applicable cGMP requirements. We intend to continue to contract production of these materials and services in the future, including commercial manufacture if our product candidates receive marketing approval. We do not own or operate cGMP manufacturing facilities, nor do we currently plan to build our own cGMP manufacturing capabilities for production of our product candidates for clinical or commercial use.</w:t>
      </w:r>
    </w:p>
    <w:p>
      <w:pPr>
        <w:spacing w:after="0" w:line="20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Although we rely upon contract manufacturers for the manufacture of our product candidates for pre-clinical trials and clinical trials, we have personnel and consultants who oversee our contract manufacturers. In the future, we may also rely upon collaboration partners, in addition to contract manufacturers, for the manufacture of our product candidates or any products for which we obtain marketing approval.</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Currently, we have agreements with manufacturers for the production of APR-1051 and ATRN-119 active pharmaceutical ingredients, or APIs, and drug products. We believe that these third parties have sufficient capacity to meet our current demand and, in the event they fail to meet our demand, we believe that adequate alternative sources for the supply of materials for our product candidates exist.</w:t>
      </w:r>
    </w:p>
    <w:p>
      <w:pPr>
        <w:spacing w:after="0" w:line="1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expect that one or more of our current contract manufacturers will have capacity to support commercial scale production but we do not have any formal agreements in place at this time given our early stage of development. If needed, we believe we can identify and establish agreements with additional contract manufacturers to provide APIs as well as drug product. We intend to identify and qualify additional manufacturers to provide the APIs, drug product and other services pertaining to our clinical and potential future supply chains prior to seeking marketing approval for any of our product candidates.</w:t>
      </w:r>
    </w:p>
    <w:p>
      <w:pPr>
        <w:sectPr>
          <w:pgSz w:w="11880" w:h="15480" w:orient="portrait"/>
          <w:cols w:equalWidth="0" w:num="1">
            <w:col w:w="9660"/>
          </w:cols>
          <w:pgMar w:left="1080" w:top="1063" w:right="11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660"/>
          </w:cols>
          <w:pgMar w:left="1080" w:top="1063" w:right="1140" w:bottom="542" w:gutter="0" w:footer="0" w:header="0"/>
          <w:type w:val="continuous"/>
        </w:sectPr>
      </w:pPr>
    </w:p>
    <w:bookmarkStart w:id="21" w:name="page22"/>
    <w:bookmarkEnd w:id="21"/>
    <w:p>
      <w:pPr>
        <w:ind w:right="80"/>
        <w:spacing w:after="0" w:line="253" w:lineRule="auto"/>
        <w:rPr>
          <w:sz w:val="20"/>
          <w:szCs w:val="20"/>
          <w:color w:val="auto"/>
        </w:rPr>
      </w:pPr>
      <w:r>
        <w:rPr>
          <w:rFonts w:ascii="Times New Roman" w:cs="Times New Roman" w:eastAsia="Times New Roman" w:hAnsi="Times New Roman"/>
          <w:sz w:val="20"/>
          <w:szCs w:val="20"/>
          <w:color w:val="auto"/>
        </w:rPr>
        <w:t>All of our product candidates are small molecules and are manufactured synthetically from readily available starting materials. The chemistry underlying our product candidates appears amenable to scale-up and does not currently require unusual equipment in the manufacturing process. We expect to continue to develop product candidates that can be produced cost-effectively at contract manufacturing facilities.</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Manufacturing clinical products is subject to extensive regulations that impose various procedural and documentation requirements, which govern record keeping, manufacturing processes and controls, personnel, quality control and quality assurance. Our contract manufacturers are required to comply with current good manufacturing practice (cGMP) regulations, which are regulatory requirements for the production of pharmaceuticals for use in humans.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The pharmaceutical and biotechnology industries generally, and the cancer drug sector specifically, are highly competitive and characterized by rapidly advancing technologies, evolving understanding of disease etiology and a strong emphasis on proprietary drugs. While we believe that our product candidates, development capabilities, experience and scientific knowledge provide us with competitive advantages, we face significant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w:t>
      </w:r>
    </w:p>
    <w:p>
      <w:pPr>
        <w:spacing w:after="0" w:line="20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There are a large number of companies developing or marketing treatments for cancer, including the indications for which we may develop product candidates. Many of the companies that we compete against or may compete against in the future have significantly greater financial resources and expertise in research and development, manufacturing, preclinical testing, conducting clinical trials, obtaining regulatory approvals and marketing approved drugs than we do. Small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20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and price, in guiding the use of related therapeutics, the level of generic competition and the availability of reimbursement from government and other third-party payors.</w:t>
      </w:r>
    </w:p>
    <w:p>
      <w:pPr>
        <w:spacing w:after="0" w:line="19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most common methods of treating patients with cancer are surgery, radiation and therapy with drugs or biologics. There are a variety of available drug therapies marketed for cancer. In many cases, these drugs are administered in combination to enhance efficacy. Some of the currently-approved drug therapies are branded and subject to patent protection and may be established as standard of care for the treatment of indications for which we may choose to seek regulatory approvals. Many of these approved drugs are well-established therapies and are widely accepted by physicians, patients and third-party payors, and even if our drug candidates were to be approved, there can be no assurance that our drugs would displace existing treatments.</w:t>
      </w:r>
    </w:p>
    <w:p>
      <w:pPr>
        <w:spacing w:after="0" w:line="20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addition to currently marketed therapies, there are also a number of drugs in late-stage clinical development to treat cancer, including for the treatment of the indications for which we are developing product candidates. These clinical-stage drug candidates may provide efficacy, safety, convenience and other benefits that are not provided by currently-marketed therapies. As a result, they may provide significant competition for any of our product candidates for which we obtain regulatory approval.</w:t>
      </w:r>
    </w:p>
    <w:p>
      <w:pPr>
        <w:spacing w:after="0" w:line="19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With respect to our WEE1 inhibitor product candidate, APR-1051, several companies are developing WEE1 inhibitors, including Zentalis Pharmaceuticals, Debiopharm, IMPACT Therapeutics, Schrodinger and Acrivon Therapeutics.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700"/>
          </w:cols>
          <w:pgMar w:left="1080" w:top="1066" w:right="1100" w:bottom="542" w:gutter="0" w:footer="0" w:header="0"/>
          <w:type w:val="continuous"/>
        </w:sectPr>
      </w:pPr>
    </w:p>
    <w:bookmarkStart w:id="22" w:name="page23"/>
    <w:bookmarkEnd w:id="22"/>
    <w:p>
      <w:pPr>
        <w:ind w:right="380"/>
        <w:spacing w:after="0" w:line="259" w:lineRule="auto"/>
        <w:rPr>
          <w:sz w:val="20"/>
          <w:szCs w:val="20"/>
          <w:color w:val="auto"/>
        </w:rPr>
      </w:pPr>
      <w:r>
        <w:rPr>
          <w:rFonts w:ascii="Times New Roman" w:cs="Times New Roman" w:eastAsia="Times New Roman" w:hAnsi="Times New Roman"/>
          <w:sz w:val="20"/>
          <w:szCs w:val="20"/>
          <w:color w:val="auto"/>
        </w:rPr>
        <w:t>Several of these companies are conducting clinical trials with their WEE1 inhibitors as monotherapy and/or in combination with other chemotherapies and targeted agents. AstraZeneca was previously developing a clinical-stage WEE1 inhibitor, AZD-1775 (Adavosertib), but reported discontinuation of further development in July 2022.</w:t>
      </w:r>
    </w:p>
    <w:p>
      <w:pPr>
        <w:spacing w:after="0" w:line="185"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auto"/>
        </w:rPr>
        <w:t>With respect to our ATR inhibitor, ATRN-119, several companies are developing ATR inhibitors, including Artios Pharma, AstraZeneca, IMPACT Therapeutics, Merck KGaA and Xeno Therapeutics (formerly Repare Therapeutics’ ATR inhibitor program). Several of these companies are conducting clinical trials with their ATR inhibitors as monotherapy and/or in combination with other chemotherapies and targeted agents.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We strive to protect the proprietary technologies that we believe are important to our business, including seeking and maintaining patent protection intended to cover claims directed to composition of matter, methods-of-use, formulations, and manufacturing processes for our product candidates, as well as other inventions that are important to our business.</w:t>
      </w:r>
    </w:p>
    <w:p>
      <w:pPr>
        <w:spacing w:after="0" w:line="18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w:t>
      </w:r>
    </w:p>
    <w:p>
      <w:pPr>
        <w:spacing w:after="0" w:line="191"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0"/>
          <w:szCs w:val="20"/>
          <w:color w:val="auto"/>
        </w:rPr>
        <w:t>A third party may hold intellectual property, including patent rights, which are important or necessary to the development or commercialization of our product candidates. If it becomes necessary for us to use patented or proprietary technology of third parties to develop or commercialize our product candidates, we may need to seek a license from such third parties. Our business could be harmed, possibly materially, if we are unable to obtain such a license on terms that are commercially reasonable, or at all.</w:t>
      </w:r>
    </w:p>
    <w:p>
      <w:pPr>
        <w:spacing w:after="0" w:line="19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may seek to expand our intellectual property estate by filing patent applications directed to dosage forms, methods of treatment, diagnostics, and additional compounds and their derivatives. Specifically, we have sought and will continue to seek patent protection in the United States and internationally for novel compositions of matter covering the compounds of our product candidates, the chemistries and processes for manufacturing these compounds, and the use of these compounds in a variety of therapies. The chemical structure of eprenetapopt is in the public domain. Accordingly, we do not own or license any composition of matter patents claiming the compound of eprenetapopt and will not in the future own or license any composition of matter patents claiming the chemical structure of eprenetapopt as described in the public domain.</w:t>
      </w:r>
    </w:p>
    <w:p>
      <w:pPr>
        <w:spacing w:after="0" w:line="20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Because patent applications in the United States and certain other jurisdictions are maintained in secrecy for 18 months, and since publication of discoveries in the scientific or patent literature often lags actual discoveries, we cannot be certain of whether inventions covered by pending patent applications represent the first priority filings of those inventions. Moreover, we may have to participate in proceedings declared by the United States Patent and Trademark Office, or USPTO, in post-grant challenge proceedings at the USPTO or at a foreign patent office, such as inter partes review and post grant review proceedings at the USPTO and opposition proceedings at the European Patent Office, that challenge priority of invention or other features of patentability. Such proceedings could result in substantial cost, even if the eventual outcome is favorable to us. For more information regarding the risks related to our intellectual property, see “Risk Factors—Risks Related to Our Intellectual Property.”</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720"/>
          </w:cols>
          <w:pgMar w:left="1080" w:top="1066" w:right="1080" w:bottom="542"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Patent portfolio</w:t>
      </w:r>
    </w:p>
    <w:p>
      <w:pPr>
        <w:spacing w:after="0" w:line="239"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color w:val="auto"/>
        </w:rPr>
        <w:t>As of December 31, 2025, our exclusively owned patent portfolio is directed toward various aspects of our product candidates and research programs.</w:t>
      </w:r>
    </w:p>
    <w:p>
      <w:pPr>
        <w:spacing w:after="0" w:line="16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As of December 31, 2025, the portion of our portfolio for DDR inhibitors, including our ATR and WEE1 programs, consists of 4 issued U.S. patents, 2 U.S. patent applications, 30 pending non-U.S. patent applications (including 1 International patent application), and 22 non-U.S. patents. The claims of these owned patents and patent applications are directed toward composition of matter, pharmaceutical compositions and methods of use. The granted patents and pending applications, if issued, in this family are expected to expire between 2035 and 2045, not giving effect to any potential patent term extensions and patent term adjustments and assuming payment of all appropriate maintenance, renewal, annuity, or other governmental fees.</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As of December 31, 2025, the portion of our portfolio for p53 reactivators, including eprenetapopt, consists of 3 issued U.S. patents, 1 pending U.S. application, and approximately 80 foreign issued patents. The claims of these owned patents and patent applications are directed toward drug product formulations and methods of use. The granted patents and pending applications, if issued, in this family are expected to expire between 2031 and 2040, not giving effect to any potential patent term extensions and patent term adjustments and assuming payment of all appropriate maintenance, renewal, annuity, or other governmental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protection</w:t>
      </w:r>
    </w:p>
    <w:p>
      <w:pPr>
        <w:spacing w:after="0" w:line="2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the United States, the Hatch-Waxman Act permits a patent holder to apply for patent term extension of a patent that covers an FDA- approved drug, which, if granted, can extend the patent term of such patent to compensate for part of the patent term lost during the FDA regulatory review process. This extension can be for up to five years beyond the original expiration date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Similar provisions are available in Europe and other non-United States jurisdictions to extend the term of a patent that covers an approved drug. In the future, if and when our product candidates receive FDA approval, we expect to apply for patent term extensions on patents covering those product candidates. While we intend to seek patent term extensions to any of our patents in any jurisdiction where such extensions are available, there is no guarantee that the applicable authorities, including the FDA and the USPTO in the United States, will agree with our assessment of whether such extensions should be granted, and even if granted, the length of such extensions.</w:t>
      </w:r>
    </w:p>
    <w:p>
      <w:pPr>
        <w:spacing w:after="0" w:line="20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to our reliance on patent protection for our inventions, product candidates and research programs, we also rely on trade secrets and confidentiality agreements to protect our technology, know-how and other aspects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700"/>
          </w:cols>
          <w:pgMar w:left="1080" w:top="1067" w:right="1100" w:bottom="542" w:gutter="0" w:footer="0" w:header="0"/>
          <w:type w:val="continuous"/>
        </w:sectPr>
      </w:pPr>
    </w:p>
    <w:bookmarkStart w:id="24" w:name="page25"/>
    <w:bookmarkEnd w:id="24"/>
    <w:p>
      <w:pPr>
        <w:spacing w:after="0" w:line="259" w:lineRule="auto"/>
        <w:rPr>
          <w:sz w:val="20"/>
          <w:szCs w:val="20"/>
          <w:color w:val="auto"/>
        </w:rPr>
      </w:pPr>
      <w:r>
        <w:rPr>
          <w:rFonts w:ascii="Times New Roman" w:cs="Times New Roman" w:eastAsia="Times New Roman" w:hAnsi="Times New Roman"/>
          <w:sz w:val="20"/>
          <w:szCs w:val="20"/>
          <w:color w:val="auto"/>
        </w:rPr>
        <w:t>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Factors—Risks Related to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 and product approvals</w:t>
      </w:r>
    </w:p>
    <w:p>
      <w:pPr>
        <w:spacing w:after="0" w:line="24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drug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drugs in the United States</w:t>
      </w:r>
    </w:p>
    <w:p>
      <w:pPr>
        <w:spacing w:after="0" w:line="23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In the United States, the FDA approves drug products under the Federal Food, Drug, and Cosmetic Act, or FDCA, and implementing regulations. The failure to comply with applicable requirements under the FDCA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debarment,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20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An applicant seeking approval to market and distribute a new drug product in the United States must typically undertake the following:</w:t>
      </w:r>
    </w:p>
    <w:p>
      <w:pPr>
        <w:spacing w:after="0" w:line="181" w:lineRule="exact"/>
        <w:rPr>
          <w:sz w:val="20"/>
          <w:szCs w:val="20"/>
          <w:color w:val="auto"/>
        </w:rPr>
      </w:pPr>
    </w:p>
    <w:p>
      <w:pPr>
        <w:ind w:left="1080" w:right="540" w:hanging="353"/>
        <w:spacing w:after="0" w:line="262" w:lineRule="auto"/>
        <w:tabs>
          <w:tab w:leader="none" w:pos="10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compliance with applicable FDA good laboratory practice, or GLP, regulations;</w:t>
      </w:r>
    </w:p>
    <w:p>
      <w:pPr>
        <w:spacing w:after="0" w:line="196" w:lineRule="exact"/>
        <w:rPr>
          <w:rFonts w:ascii="Symbol" w:cs="Symbol" w:eastAsia="Symbol" w:hAnsi="Symbol"/>
          <w:sz w:val="20"/>
          <w:szCs w:val="20"/>
          <w:color w:val="auto"/>
        </w:rPr>
      </w:pPr>
    </w:p>
    <w:p>
      <w:pPr>
        <w:ind w:left="1080" w:hanging="353"/>
        <w:spacing w:after="0"/>
        <w:tabs>
          <w:tab w:leader="none" w:pos="10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to the FDA of an IND, which must take effect before human clinical trials begin;</w:t>
      </w:r>
    </w:p>
    <w:p>
      <w:pPr>
        <w:spacing w:after="0" w:line="238" w:lineRule="exact"/>
        <w:rPr>
          <w:rFonts w:ascii="Symbol" w:cs="Symbol" w:eastAsia="Symbol" w:hAnsi="Symbol"/>
          <w:sz w:val="20"/>
          <w:szCs w:val="20"/>
          <w:color w:val="auto"/>
        </w:rPr>
      </w:pPr>
    </w:p>
    <w:p>
      <w:pPr>
        <w:ind w:left="1080" w:right="280" w:hanging="353"/>
        <w:spacing w:after="0" w:line="262" w:lineRule="auto"/>
        <w:tabs>
          <w:tab w:leader="none" w:pos="10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approval by an independent institutional review board, or IRB, or ethics committee, or EC, representing each clinical site before each clinical trial may be initiated;</w:t>
      </w:r>
    </w:p>
    <w:p>
      <w:pPr>
        <w:spacing w:after="0" w:line="196" w:lineRule="exact"/>
        <w:rPr>
          <w:rFonts w:ascii="Symbol" w:cs="Symbol" w:eastAsia="Symbol" w:hAnsi="Symbol"/>
          <w:sz w:val="20"/>
          <w:szCs w:val="20"/>
          <w:color w:val="auto"/>
        </w:rPr>
      </w:pPr>
    </w:p>
    <w:p>
      <w:pPr>
        <w:ind w:left="1080" w:hanging="353"/>
        <w:spacing w:after="0" w:line="250" w:lineRule="auto"/>
        <w:tabs>
          <w:tab w:leader="none" w:pos="10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practices, or GCP, and other applicable regulations to establish the safety and efficacy of the proposed drug product for each proposed indication;</w:t>
      </w:r>
    </w:p>
    <w:p>
      <w:pPr>
        <w:spacing w:after="0" w:line="208" w:lineRule="exact"/>
        <w:rPr>
          <w:rFonts w:ascii="Symbol" w:cs="Symbol" w:eastAsia="Symbol" w:hAnsi="Symbol"/>
          <w:sz w:val="20"/>
          <w:szCs w:val="20"/>
          <w:color w:val="auto"/>
        </w:rPr>
      </w:pPr>
    </w:p>
    <w:p>
      <w:pPr>
        <w:ind w:left="1080" w:right="680" w:hanging="353"/>
        <w:spacing w:after="0" w:line="262" w:lineRule="auto"/>
        <w:tabs>
          <w:tab w:leader="none" w:pos="10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preparation and submission to the FDA of an NDA requesting marketing for one or more proposed indications;</w:t>
      </w:r>
    </w:p>
    <w:p>
      <w:pPr>
        <w:spacing w:after="0" w:line="196" w:lineRule="exact"/>
        <w:rPr>
          <w:rFonts w:ascii="Symbol" w:cs="Symbol" w:eastAsia="Symbol" w:hAnsi="Symbol"/>
          <w:sz w:val="20"/>
          <w:szCs w:val="20"/>
          <w:color w:val="auto"/>
        </w:rPr>
      </w:pPr>
    </w:p>
    <w:p>
      <w:pPr>
        <w:ind w:left="1080" w:hanging="353"/>
        <w:spacing w:after="0"/>
        <w:tabs>
          <w:tab w:leader="none" w:pos="10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review by an FDA advisory committee, where appropriate or if applicable;</w:t>
      </w:r>
    </w:p>
    <w:p>
      <w:pPr>
        <w:spacing w:after="0" w:line="238" w:lineRule="exact"/>
        <w:rPr>
          <w:rFonts w:ascii="Symbol" w:cs="Symbol" w:eastAsia="Symbol" w:hAnsi="Symbol"/>
          <w:sz w:val="20"/>
          <w:szCs w:val="20"/>
          <w:color w:val="auto"/>
        </w:rPr>
      </w:pPr>
    </w:p>
    <w:p>
      <w:pPr>
        <w:ind w:left="1080" w:right="60" w:hanging="353"/>
        <w:spacing w:after="0" w:line="247" w:lineRule="auto"/>
        <w:tabs>
          <w:tab w:leader="none" w:pos="108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680"/>
          </w:cols>
          <w:pgMar w:left="1080" w:top="1066" w:right="1120" w:bottom="542" w:gutter="0" w:footer="0" w:header="0"/>
          <w:type w:val="continuous"/>
        </w:sectPr>
      </w:pPr>
    </w:p>
    <w:bookmarkStart w:id="25" w:name="page26"/>
    <w:bookmarkEnd w:id="25"/>
    <w:p>
      <w:pPr>
        <w:ind w:left="1080" w:right="660" w:hanging="353"/>
        <w:spacing w:after="0" w:line="262" w:lineRule="auto"/>
        <w:tabs>
          <w:tab w:leader="none" w:pos="10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FDA audits of clinical trial sites to assure compliance with GCPs and the integrity of the clinical data;</w:t>
      </w:r>
    </w:p>
    <w:p>
      <w:pPr>
        <w:spacing w:after="0" w:line="196" w:lineRule="exact"/>
        <w:rPr>
          <w:rFonts w:ascii="Symbol" w:cs="Symbol" w:eastAsia="Symbol" w:hAnsi="Symbol"/>
          <w:sz w:val="20"/>
          <w:szCs w:val="20"/>
          <w:color w:val="auto"/>
        </w:rPr>
      </w:pPr>
    </w:p>
    <w:p>
      <w:pPr>
        <w:ind w:left="1080" w:hanging="353"/>
        <w:spacing w:after="0"/>
        <w:tabs>
          <w:tab w:leader="none" w:pos="10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payment of user fees and securing FDA approval of the NDA; and</w:t>
      </w:r>
    </w:p>
    <w:p>
      <w:pPr>
        <w:spacing w:after="0" w:line="238" w:lineRule="exact"/>
        <w:rPr>
          <w:rFonts w:ascii="Symbol" w:cs="Symbol" w:eastAsia="Symbol" w:hAnsi="Symbol"/>
          <w:sz w:val="20"/>
          <w:szCs w:val="20"/>
          <w:color w:val="auto"/>
        </w:rPr>
      </w:pPr>
    </w:p>
    <w:p>
      <w:pPr>
        <w:ind w:left="1080" w:right="140" w:hanging="353"/>
        <w:spacing w:after="0" w:line="251" w:lineRule="auto"/>
        <w:tabs>
          <w:tab w:leader="none" w:pos="10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compliance with any post-approval requirements, including the potential requirement to implement a Risk Evaluation and Mitigation Strategy, or REMS, and the potential requirement to conduct post-approval studies.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Satisfaction of FDA pre-market approval requirements typically takes many years and the actual time required may vary substantially based upon the type, complexity, and novelty of the product candidate or disease. A clinical hold may occur at any time during the life of an IND and may affect one or more specific trials or all trials conducted under the IND. The testing and approval process requires substantial time, effort, and financial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studies</w:t>
      </w:r>
    </w:p>
    <w:p>
      <w:pPr>
        <w:spacing w:after="0" w:line="23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Before an applicant begins testing a compound with potential therapeutic value in humans, the drug candidate enters the preclinical testing stage. Preclinical studies include laboratory evaluation of product chemistry, toxicity and formulation, as well as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animal studies to assess the potential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AEs and carcinogenicity, may continue after the IND is submitted.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IND and IRB processes</w:t>
      </w:r>
    </w:p>
    <w:p>
      <w:pPr>
        <w:spacing w:after="0" w:line="23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 sponsor must submit, among other things, a protocol for each clinical trial and any subsequent protocol amendments must be submitted to the FDA as part of the IND. The sponsor may be a company seeking to develop the drug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IND is deemed to be in effect and the clinical trial proposed in the IND may begin.</w:t>
      </w:r>
    </w:p>
    <w:p>
      <w:pPr>
        <w:spacing w:after="0" w:line="21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720"/>
          </w:cols>
          <w:pgMar w:left="1080" w:top="1081" w:right="1080" w:bottom="542" w:gutter="0" w:footer="0" w:header="0"/>
          <w:type w:val="continuous"/>
        </w:sectPr>
      </w:pPr>
    </w:p>
    <w:bookmarkStart w:id="26" w:name="page27"/>
    <w:bookmarkEnd w:id="26"/>
    <w:p>
      <w:pPr>
        <w:spacing w:after="0" w:line="242" w:lineRule="auto"/>
        <w:rPr>
          <w:sz w:val="20"/>
          <w:szCs w:val="20"/>
          <w:color w:val="auto"/>
        </w:rPr>
      </w:pPr>
      <w:r>
        <w:rPr>
          <w:rFonts w:ascii="Times New Roman" w:cs="Times New Roman" w:eastAsia="Times New Roman" w:hAnsi="Times New Roman"/>
          <w:sz w:val="20"/>
          <w:szCs w:val="20"/>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Specifically, FDA has promulgated regulations governing the acceptance of foreign clinical trials not conducted under an IND, establishing that such studies will be accepted as support for an IND or application for marketing approval if the study was conducted in accordance with GCP, including review and approval by an independent ethics committee, or IEC, and use of proper procedures for obtaining informed consent from subjects, and the FDA is able to validate the data from the study through an on-site inspection if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21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20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20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Information about certain clinical trials must be submitted within specific timeframes to the National Institutes of Health, or NIH, for public dissemination on its ClinicalTrials.gov website.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Human clinical trials in support of an NDA</w:t>
      </w:r>
    </w:p>
    <w:p>
      <w:pPr>
        <w:spacing w:after="0" w:line="23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720"/>
          </w:cols>
          <w:pgMar w:left="1080" w:top="1066" w:right="1080" w:bottom="542"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Human clinical trials are typically conducted in the following sequential phases, which may overlap or be combined:</w:t>
      </w:r>
    </w:p>
    <w:p>
      <w:pPr>
        <w:spacing w:after="0" w:line="262" w:lineRule="exact"/>
        <w:rPr>
          <w:sz w:val="20"/>
          <w:szCs w:val="20"/>
          <w:color w:val="auto"/>
        </w:rPr>
      </w:pPr>
    </w:p>
    <w:p>
      <w:pPr>
        <w:ind w:left="2140" w:right="1020" w:hanging="1162"/>
        <w:spacing w:after="0" w:line="249" w:lineRule="auto"/>
        <w:tabs>
          <w:tab w:leader="none" w:pos="2120" w:val="left"/>
        </w:tabs>
        <w:rPr>
          <w:sz w:val="20"/>
          <w:szCs w:val="20"/>
          <w:color w:val="auto"/>
        </w:rPr>
      </w:pPr>
      <w:r>
        <w:rPr>
          <w:rFonts w:ascii="Times New Roman" w:cs="Times New Roman" w:eastAsia="Times New Roman" w:hAnsi="Times New Roman"/>
          <w:sz w:val="20"/>
          <w:szCs w:val="20"/>
          <w:i w:val="1"/>
          <w:iCs w:val="1"/>
          <w:color w:val="auto"/>
        </w:rPr>
        <w:t>Phase 1:</w:t>
      </w:r>
      <w:r>
        <w:rPr>
          <w:sz w:val="20"/>
          <w:szCs w:val="20"/>
          <w:color w:val="auto"/>
        </w:rPr>
        <w:tab/>
      </w:r>
      <w:r>
        <w:rPr>
          <w:rFonts w:ascii="Times New Roman" w:cs="Times New Roman" w:eastAsia="Times New Roman" w:hAnsi="Times New Roman"/>
          <w:sz w:val="20"/>
          <w:szCs w:val="20"/>
          <w:color w:val="auto"/>
        </w:rPr>
        <w:t>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78" w:lineRule="exact"/>
        <w:rPr>
          <w:sz w:val="20"/>
          <w:szCs w:val="20"/>
          <w:color w:val="auto"/>
        </w:rPr>
      </w:pPr>
    </w:p>
    <w:p>
      <w:pPr>
        <w:jc w:val="both"/>
        <w:ind w:left="2140" w:right="1460" w:hanging="1162"/>
        <w:spacing w:after="0" w:line="252" w:lineRule="auto"/>
        <w:tabs>
          <w:tab w:leader="none" w:pos="2120" w:val="left"/>
        </w:tabs>
        <w:rPr>
          <w:sz w:val="20"/>
          <w:szCs w:val="20"/>
          <w:color w:val="auto"/>
        </w:rPr>
      </w:pPr>
      <w:r>
        <w:rPr>
          <w:rFonts w:ascii="Times New Roman" w:cs="Times New Roman" w:eastAsia="Times New Roman" w:hAnsi="Times New Roman"/>
          <w:sz w:val="20"/>
          <w:szCs w:val="20"/>
          <w:i w:val="1"/>
          <w:iCs w:val="1"/>
          <w:color w:val="auto"/>
        </w:rPr>
        <w:t>Phase 2:</w:t>
      </w:r>
      <w:r>
        <w:rPr>
          <w:sz w:val="20"/>
          <w:szCs w:val="20"/>
          <w:color w:val="auto"/>
        </w:rPr>
        <w:tab/>
      </w:r>
      <w:r>
        <w:rPr>
          <w:rFonts w:ascii="Times New Roman" w:cs="Times New Roman" w:eastAsia="Times New Roman" w:hAnsi="Times New Roman"/>
          <w:sz w:val="20"/>
          <w:szCs w:val="20"/>
          <w:color w:val="auto"/>
        </w:rPr>
        <w:t>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73" w:lineRule="exact"/>
        <w:rPr>
          <w:sz w:val="20"/>
          <w:szCs w:val="20"/>
          <w:color w:val="auto"/>
        </w:rPr>
      </w:pPr>
    </w:p>
    <w:p>
      <w:pPr>
        <w:ind w:left="2140" w:right="1220" w:hanging="1162"/>
        <w:spacing w:after="0" w:line="249" w:lineRule="auto"/>
        <w:tabs>
          <w:tab w:leader="none" w:pos="2120" w:val="left"/>
        </w:tabs>
        <w:rPr>
          <w:sz w:val="20"/>
          <w:szCs w:val="20"/>
          <w:color w:val="auto"/>
        </w:rPr>
      </w:pPr>
      <w:r>
        <w:rPr>
          <w:rFonts w:ascii="Times New Roman" w:cs="Times New Roman" w:eastAsia="Times New Roman" w:hAnsi="Times New Roman"/>
          <w:sz w:val="20"/>
          <w:szCs w:val="20"/>
          <w:i w:val="1"/>
          <w:iCs w:val="1"/>
          <w:color w:val="auto"/>
        </w:rPr>
        <w:t>Phase 3:</w:t>
      </w:r>
      <w:r>
        <w:rPr>
          <w:sz w:val="20"/>
          <w:szCs w:val="20"/>
          <w:color w:val="auto"/>
        </w:rPr>
        <w:tab/>
      </w:r>
      <w:r>
        <w:rPr>
          <w:rFonts w:ascii="Times New Roman" w:cs="Times New Roman" w:eastAsia="Times New Roman" w:hAnsi="Times New Roman"/>
          <w:sz w:val="20"/>
          <w:szCs w:val="20"/>
          <w:color w:val="auto"/>
        </w:rPr>
        <w:t>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77" w:lineRule="exact"/>
        <w:rPr>
          <w:sz w:val="20"/>
          <w:szCs w:val="20"/>
          <w:color w:val="auto"/>
        </w:rPr>
      </w:pPr>
    </w:p>
    <w:p>
      <w:pPr>
        <w:ind w:left="2140" w:right="1420" w:hanging="1162"/>
        <w:spacing w:after="0" w:line="259" w:lineRule="auto"/>
        <w:tabs>
          <w:tab w:leader="none" w:pos="2120" w:val="left"/>
        </w:tabs>
        <w:rPr>
          <w:sz w:val="20"/>
          <w:szCs w:val="20"/>
          <w:color w:val="auto"/>
        </w:rPr>
      </w:pPr>
      <w:r>
        <w:rPr>
          <w:rFonts w:ascii="Times New Roman" w:cs="Times New Roman" w:eastAsia="Times New Roman" w:hAnsi="Times New Roman"/>
          <w:sz w:val="20"/>
          <w:szCs w:val="20"/>
          <w:i w:val="1"/>
          <w:iCs w:val="1"/>
          <w:color w:val="auto"/>
        </w:rPr>
        <w:t>Phase 4:</w:t>
      </w:r>
      <w:r>
        <w:rPr>
          <w:sz w:val="20"/>
          <w:szCs w:val="20"/>
          <w:color w:val="auto"/>
        </w:rPr>
        <w:tab/>
      </w:r>
      <w:r>
        <w:rPr>
          <w:rFonts w:ascii="Times New Roman" w:cs="Times New Roman" w:eastAsia="Times New Roman" w:hAnsi="Times New Roman"/>
          <w:sz w:val="20"/>
          <w:szCs w:val="20"/>
          <w:color w:val="auto"/>
        </w:rPr>
        <w:t>Post-approval studies, which are conducted following initial approval, are typically conducted to gain additional experience and data from treatment of patients in the intended therapeutic indication.</w:t>
      </w:r>
    </w:p>
    <w:p>
      <w:pPr>
        <w:spacing w:after="0" w:line="17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 xml:space="preserve">Progress reports detailing the results of the clinical trials must be submitted at least annually to the FDA and more frequently if serious AEs occur. In addition, IND safety reports must be submitted to the FDA for any of the following: serious and unexpected suspected adverse reactions for which there is evidence to suggest a causal relationship between the drug and the AE; findings from other studies or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20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Submission of an NDA to the FDA</w:t>
      </w:r>
    </w:p>
    <w:p>
      <w:pPr>
        <w:spacing w:after="0" w:line="23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Assuming successful completion of required clinical testing and other requirements, the results of the preclinical studies and clinical trials, together with detailed information relating to the product’s chemistry, manufacture, controls and</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680"/>
          </w:cols>
          <w:pgMar w:left="1080" w:top="1067" w:right="1120" w:bottom="542" w:gutter="0" w:footer="0" w:header="0"/>
          <w:type w:val="continuous"/>
        </w:sectPr>
      </w:pPr>
    </w:p>
    <w:bookmarkStart w:id="28" w:name="page29"/>
    <w:bookmarkEnd w:id="28"/>
    <w:p>
      <w:pPr>
        <w:ind w:right="60"/>
        <w:spacing w:after="0" w:line="247" w:lineRule="auto"/>
        <w:rPr>
          <w:sz w:val="20"/>
          <w:szCs w:val="20"/>
          <w:color w:val="auto"/>
        </w:rPr>
      </w:pPr>
      <w:r>
        <w:rPr>
          <w:rFonts w:ascii="Times New Roman" w:cs="Times New Roman" w:eastAsia="Times New Roman" w:hAnsi="Times New Roman"/>
          <w:sz w:val="20"/>
          <w:szCs w:val="20"/>
          <w:color w:val="auto"/>
        </w:rPr>
        <w:t>proposed labeling, among other things, are submitted to the FDA as part of an NDA requesting approval to market the drug product for one or more indications. Data can come from company-sponsored clinical trials intended to test the safety and effectiveness of a use of a product, or from several alternative sources, including investigator-initiated trials that are not sponsored by company. Under federal law, the submission of NDAs requiring clinical data is additionally subject to an application user fee, which for federal fiscal year 2025 is $4,310,002. The sponsor of an approved NDA is also subject to annual program fees, which for fiscal year 2025 are $403,889 per eligible product.</w:t>
      </w:r>
    </w:p>
    <w:p>
      <w:pPr>
        <w:spacing w:after="0" w:line="20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The FDA conducts a preliminary review of an NDA within 60 days of its receipt and informs the sponsor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 -depth substantive review. The FDA has agreed to specified performance goals in the review process of NDAs. Most such applications are meant to be reviewed within ten months from the filing date, and most applications for “priority review” products are meant to be reviewed within six months of the filing date.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20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APIs),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19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20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In September 2025, FDA announced that it is considering ending advisory committee on new drugs because they take up significant resources and may not be needed. It is currently unclear whether and to what extent FDA may implement such changes in its use of advisory committees.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Fast track, breakthrough therapy and priority review designations</w:t>
      </w:r>
    </w:p>
    <w:p>
      <w:pPr>
        <w:spacing w:after="0" w:line="23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 In May 2014, the FDA published a final Guidance for Industry titled “Expedited Programs for Serious Conditions-Drugs and Biologics,” which provides guidance on the FDA programs that are intended to facilitate and expedite development and review of new product candidates as well as threshold criteria generally applicable to concluding that a product candidate is a candidate for these expedited development and review programs.</w:t>
      </w:r>
    </w:p>
    <w:p>
      <w:pPr>
        <w:sectPr>
          <w:pgSz w:w="11880" w:h="15480" w:orient="portrait"/>
          <w:cols w:equalWidth="0" w:num="1">
            <w:col w:w="9640"/>
          </w:cols>
          <w:pgMar w:left="1080" w:top="1066" w:right="1160" w:bottom="54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640"/>
          </w:cols>
          <w:pgMar w:left="1080" w:top="1066" w:right="1160" w:bottom="542" w:gutter="0" w:footer="0" w:header="0"/>
          <w:type w:val="continuous"/>
        </w:sectPr>
      </w:pPr>
    </w:p>
    <w:bookmarkStart w:id="29" w:name="page30"/>
    <w:bookmarkEnd w:id="29"/>
    <w:p>
      <w:pPr>
        <w:ind w:right="100"/>
        <w:spacing w:after="0" w:line="243" w:lineRule="auto"/>
        <w:rPr>
          <w:sz w:val="20"/>
          <w:szCs w:val="20"/>
          <w:color w:val="auto"/>
        </w:rPr>
      </w:pPr>
      <w:r>
        <w:rPr>
          <w:rFonts w:ascii="Times New Roman" w:cs="Times New Roman" w:eastAsia="Times New Roman" w:hAnsi="Times New Roman"/>
          <w:sz w:val="20"/>
          <w:szCs w:val="20"/>
          <w:color w:val="auto"/>
        </w:rPr>
        <w:t>Specifically, the FDA may designate a product for Fast Track review if it is intended, whether alone or in combination with one or more other products, for the treatment of a serious or life- 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0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20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Accelerated approval pathway</w:t>
      </w:r>
    </w:p>
    <w:p>
      <w:pPr>
        <w:spacing w:after="0" w:line="2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20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680"/>
          </w:cols>
          <w:pgMar w:left="1080" w:top="1066" w:right="1120" w:bottom="542" w:gutter="0" w:footer="0" w:header="0"/>
          <w:type w:val="continuous"/>
        </w:sectPr>
      </w:pPr>
    </w:p>
    <w:bookmarkStart w:id="30" w:name="page31"/>
    <w:bookmarkEnd w:id="30"/>
    <w:p>
      <w:pPr>
        <w:ind w:right="160"/>
        <w:spacing w:after="0" w:line="259" w:lineRule="auto"/>
        <w:rPr>
          <w:sz w:val="20"/>
          <w:szCs w:val="20"/>
          <w:color w:val="auto"/>
        </w:rPr>
      </w:pPr>
      <w:r>
        <w:rPr>
          <w:rFonts w:ascii="Times New Roman" w:cs="Times New Roman" w:eastAsia="Times New Roman" w:hAnsi="Times New Roman"/>
          <w:sz w:val="20"/>
          <w:szCs w:val="20"/>
          <w:color w:val="auto"/>
        </w:rPr>
        <w:t>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accelerated approval pathway is contingent on a sponsor’s agreement to conduct, in a diligent manner, additional post-approval confirmatory studies to verify and describe the drug’s clinical benefit. As a result, a drug candidate approved on this basis is subject to rigorous post- 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FDA’s decision on an NDA</w:t>
      </w:r>
    </w:p>
    <w:p>
      <w:pPr>
        <w:spacing w:after="0" w:line="23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Prescription Drug User Fee Act, or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20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If the FDA approves a product, it may limit the approved indications for use for the product, require that contraindications, warnings or precautions be included in the product labeling, require that post -approval studies, including Phase 4 clinical trials, be conducted to further assess the drug’s safety after approval, require testing and surveillance programs to monitor the product after commercialization, or impose other conditions, including distribution</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720"/>
          </w:cols>
          <w:pgMar w:left="1080" w:top="1066" w:right="1080" w:bottom="542" w:gutter="0" w:footer="0" w:header="0"/>
          <w:type w:val="continuous"/>
        </w:sectPr>
      </w:pPr>
    </w:p>
    <w:bookmarkStart w:id="31" w:name="page32"/>
    <w:bookmarkEnd w:id="31"/>
    <w:p>
      <w:pPr>
        <w:ind w:right="240"/>
        <w:spacing w:after="0" w:line="249" w:lineRule="auto"/>
        <w:rPr>
          <w:sz w:val="20"/>
          <w:szCs w:val="20"/>
          <w:color w:val="auto"/>
        </w:rPr>
      </w:pPr>
      <w:r>
        <w:rPr>
          <w:rFonts w:ascii="Times New Roman" w:cs="Times New Roman" w:eastAsia="Times New Roman" w:hAnsi="Times New Roman"/>
          <w:sz w:val="20"/>
          <w:szCs w:val="20"/>
          <w:color w:val="auto"/>
        </w:rPr>
        <w:t>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Post-approval requirements</w:t>
      </w: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 party manufacturers that the NDA holder may decide to use. Accordingly, manufacturers must continue to expend time, money, and effort in the area of production and quality control to maintain cGMP compliance.</w:t>
      </w:r>
    </w:p>
    <w:p>
      <w:pPr>
        <w:spacing w:after="0" w:line="2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4" w:lineRule="exact"/>
        <w:rPr>
          <w:sz w:val="20"/>
          <w:szCs w:val="20"/>
          <w:color w:val="auto"/>
        </w:rPr>
      </w:pPr>
    </w:p>
    <w:p>
      <w:pPr>
        <w:ind w:left="1080" w:right="520" w:hanging="353"/>
        <w:spacing w:after="0" w:line="262" w:lineRule="auto"/>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marketing or manufacturing of the product, including total or partial suspension of production, complete withdrawal of the product from the market or product recalls;</w:t>
      </w:r>
    </w:p>
    <w:p>
      <w:pPr>
        <w:spacing w:after="0" w:line="196" w:lineRule="exact"/>
        <w:rPr>
          <w:rFonts w:ascii="Symbol" w:cs="Symbol" w:eastAsia="Symbol" w:hAnsi="Symbol"/>
          <w:sz w:val="20"/>
          <w:szCs w:val="20"/>
          <w:color w:val="auto"/>
        </w:rPr>
      </w:pPr>
    </w:p>
    <w:p>
      <w:pPr>
        <w:ind w:left="1080" w:hanging="353"/>
        <w:spacing w:after="0"/>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fines, warning or untitled letters or holds on post-approval clinical trials;</w:t>
      </w:r>
    </w:p>
    <w:p>
      <w:pPr>
        <w:spacing w:after="0" w:line="238" w:lineRule="exact"/>
        <w:rPr>
          <w:rFonts w:ascii="Symbol" w:cs="Symbol" w:eastAsia="Symbol" w:hAnsi="Symbol"/>
          <w:sz w:val="20"/>
          <w:szCs w:val="20"/>
          <w:color w:val="auto"/>
        </w:rPr>
      </w:pPr>
    </w:p>
    <w:p>
      <w:pPr>
        <w:ind w:left="1080" w:right="700" w:hanging="353"/>
        <w:spacing w:after="0" w:line="262" w:lineRule="auto"/>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of the FDA to approve pending NDAs or supplements to approved NDAs, or suspension or revocation of product license approvals;</w:t>
      </w:r>
    </w:p>
    <w:p>
      <w:pPr>
        <w:spacing w:after="0" w:line="195" w:lineRule="exact"/>
        <w:rPr>
          <w:rFonts w:ascii="Symbol" w:cs="Symbol" w:eastAsia="Symbol" w:hAnsi="Symbol"/>
          <w:sz w:val="20"/>
          <w:szCs w:val="20"/>
          <w:color w:val="auto"/>
        </w:rPr>
      </w:pPr>
    </w:p>
    <w:p>
      <w:pPr>
        <w:ind w:left="1080" w:hanging="353"/>
        <w:spacing w:after="0"/>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2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color w:val="auto"/>
        </w:rPr>
        <w:t>The FDA strictly regulates marketing, labeling, advertising and promotion of products that are placed on the market. Drugs may be promoted only for the approved indications and in a manner and for uses consistent with the approved</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680"/>
          </w:cols>
          <w:pgMar w:left="1080" w:top="1066" w:right="1120" w:bottom="542" w:gutter="0" w:footer="0" w:header="0"/>
          <w:type w:val="continuous"/>
        </w:sectPr>
      </w:pPr>
    </w:p>
    <w:bookmarkStart w:id="32" w:name="page33"/>
    <w:bookmarkEnd w:id="32"/>
    <w:p>
      <w:pPr>
        <w:ind w:right="260"/>
        <w:spacing w:after="0" w:line="278" w:lineRule="auto"/>
        <w:rPr>
          <w:sz w:val="20"/>
          <w:szCs w:val="20"/>
          <w:color w:val="auto"/>
        </w:rPr>
      </w:pPr>
      <w:r>
        <w:rPr>
          <w:rFonts w:ascii="Times New Roman" w:cs="Times New Roman" w:eastAsia="Times New Roman" w:hAnsi="Times New Roman"/>
          <w:sz w:val="20"/>
          <w:szCs w:val="20"/>
          <w:color w:val="auto"/>
        </w:rPr>
        <w:t>labeling. The FDA and other agencies actively enforce the laws and regulations prohibiting the promotion of off-label uses, and a company that is found to have improperly promoted off-label uses may be subject to significant liability.</w:t>
      </w:r>
    </w:p>
    <w:p>
      <w:pPr>
        <w:spacing w:after="0" w:line="16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 addition, the distribution of prescription drug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w:t>
      </w:r>
    </w:p>
    <w:p>
      <w:pPr>
        <w:spacing w:after="0" w:line="19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Marketing Exclusivity</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API,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20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submitted to the FDA until the expiration of five years from the date the NDA is approved, unless the submission is accompanied by a Paragraph IV certification that a listed patent for the RLD is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700"/>
          </w:cols>
          <w:pgMar w:left="1080" w:top="1066" w:right="1100" w:bottom="542" w:gutter="0" w:footer="0" w:header="0"/>
          <w:type w:val="continuous"/>
        </w:sectPr>
      </w:pPr>
    </w:p>
    <w:bookmarkStart w:id="33" w:name="page34"/>
    <w:bookmarkEnd w:id="33"/>
    <w:p>
      <w:pPr>
        <w:ind w:right="220"/>
        <w:spacing w:after="0" w:line="278" w:lineRule="auto"/>
        <w:rPr>
          <w:sz w:val="20"/>
          <w:szCs w:val="20"/>
          <w:color w:val="auto"/>
        </w:rPr>
      </w:pPr>
      <w:r>
        <w:rPr>
          <w:rFonts w:ascii="Times New Roman" w:cs="Times New Roman" w:eastAsia="Times New Roman" w:hAnsi="Times New Roman"/>
          <w:sz w:val="20"/>
          <w:szCs w:val="20"/>
          <w:color w:val="auto"/>
        </w:rPr>
        <w:t>invalid or will not be infringed by the drug that is the subject of the ANDA, in which case the applicant may submit its application four years following the original product approval.</w:t>
      </w:r>
    </w:p>
    <w:p>
      <w:pPr>
        <w:spacing w:after="0" w:line="1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only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it does, however, block the FDA from approving ANDAs during the period of exclusivity. The FDA typically makes decisions about awards of data exclusivity shortly before a product is approved.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505(b)(2) NDAs</w:t>
      </w:r>
    </w:p>
    <w:p>
      <w:pPr>
        <w:spacing w:after="0" w:line="2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product candidate for all, or some, of the label indications for which the reference drug has been approved, as well as for any new indication sought by the 505(b)(2) applicant. An RLD’s unexpired non-patent exclusivities would also block FDA from accepting or approving 505(b)(2) NDAs in the same way as they apply to ANDAs.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Hatch-Waxman patent certification and the 30-Month Stay</w:t>
      </w:r>
    </w:p>
    <w:p>
      <w:pPr>
        <w:spacing w:after="0" w:line="23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methods-of-use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Specifically, the applicant must certify with respect to each patent that:</w:t>
      </w:r>
    </w:p>
    <w:p>
      <w:pPr>
        <w:spacing w:after="0" w:line="255" w:lineRule="exact"/>
        <w:rPr>
          <w:sz w:val="20"/>
          <w:szCs w:val="20"/>
          <w:color w:val="auto"/>
        </w:rPr>
      </w:pPr>
    </w:p>
    <w:p>
      <w:pPr>
        <w:ind w:left="1080" w:hanging="353"/>
        <w:spacing w:after="0"/>
        <w:tabs>
          <w:tab w:leader="none" w:pos="10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required patent information has not been filed;</w:t>
      </w:r>
    </w:p>
    <w:p>
      <w:pPr>
        <w:spacing w:after="0" w:line="238" w:lineRule="exact"/>
        <w:rPr>
          <w:rFonts w:ascii="Symbol" w:cs="Symbol" w:eastAsia="Symbol" w:hAnsi="Symbol"/>
          <w:sz w:val="20"/>
          <w:szCs w:val="20"/>
          <w:color w:val="auto"/>
        </w:rPr>
      </w:pPr>
    </w:p>
    <w:p>
      <w:pPr>
        <w:ind w:left="1080" w:hanging="353"/>
        <w:spacing w:after="0"/>
        <w:tabs>
          <w:tab w:leader="none" w:pos="10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the listed patent has expired;</w:t>
      </w:r>
    </w:p>
    <w:p>
      <w:pPr>
        <w:spacing w:after="0" w:line="238" w:lineRule="exact"/>
        <w:rPr>
          <w:rFonts w:ascii="Symbol" w:cs="Symbol" w:eastAsia="Symbol" w:hAnsi="Symbol"/>
          <w:sz w:val="20"/>
          <w:szCs w:val="20"/>
          <w:color w:val="auto"/>
        </w:rPr>
      </w:pPr>
    </w:p>
    <w:p>
      <w:pPr>
        <w:ind w:left="1080" w:right="420" w:hanging="353"/>
        <w:spacing w:after="0" w:line="262" w:lineRule="auto"/>
        <w:tabs>
          <w:tab w:leader="none" w:pos="10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the listed patent has not expired, but will expire on a particular date and approval is sought after patent expiration; or</w:t>
      </w:r>
    </w:p>
    <w:p>
      <w:pPr>
        <w:spacing w:after="0" w:line="196" w:lineRule="exact"/>
        <w:rPr>
          <w:rFonts w:ascii="Symbol" w:cs="Symbol" w:eastAsia="Symbol" w:hAnsi="Symbol"/>
          <w:sz w:val="20"/>
          <w:szCs w:val="20"/>
          <w:color w:val="auto"/>
        </w:rPr>
      </w:pPr>
    </w:p>
    <w:p>
      <w:pPr>
        <w:ind w:left="1080" w:hanging="353"/>
        <w:spacing w:after="0"/>
        <w:tabs>
          <w:tab w:leader="none" w:pos="10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the listed patent is invalid, unenforceable or will not be infringed by the new product.</w:t>
      </w:r>
    </w:p>
    <w:p>
      <w:pPr>
        <w:spacing w:after="0" w:line="2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720"/>
          </w:cols>
          <w:pgMar w:left="1080" w:top="1066" w:right="1080" w:bottom="542" w:gutter="0" w:footer="0" w:header="0"/>
          <w:type w:val="continuous"/>
        </w:sectPr>
      </w:pPr>
    </w:p>
    <w:bookmarkStart w:id="34" w:name="page35"/>
    <w:bookmarkEnd w:id="34"/>
    <w:p>
      <w:pPr>
        <w:ind w:right="220"/>
        <w:spacing w:after="0" w:line="278" w:lineRule="auto"/>
        <w:rPr>
          <w:sz w:val="20"/>
          <w:szCs w:val="20"/>
          <w:color w:val="auto"/>
        </w:rPr>
      </w:pPr>
      <w:r>
        <w:rPr>
          <w:rFonts w:ascii="Times New Roman" w:cs="Times New Roman" w:eastAsia="Times New Roman" w:hAnsi="Times New Roman"/>
          <w:sz w:val="20"/>
          <w:szCs w:val="20"/>
          <w:color w:val="auto"/>
        </w:rPr>
        <w:t>listed patents claiming the referenced product have expired (other than method of use patents involving indications for which the applicant is not seeking approval).</w:t>
      </w:r>
    </w:p>
    <w:p>
      <w:pPr>
        <w:spacing w:after="0" w:line="1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If the ANDA or 505(b)(2) applicant has provided a Paragraph IV certification to the FDA, the applicant must also send notice of the Paragraph IV certification to the NDA and patent holders once the ANDA or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granting final approval of the application until the earlier of 30 months after the receipt of the Paragraph IV notice, expiration of the patent, or a decision in the infringement case that is favorable to the applicant. The ANDA or 505(b)(2) application also will not be approved until any applicable non-patent exclusivity listed in the Orange Book for the branded reference drug has expired.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Pediatric studies and exclusivity</w:t>
      </w:r>
    </w:p>
    <w:p>
      <w:pPr>
        <w:spacing w:after="0" w:line="23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sponsors must also submit pediatric study plans prior to the assessment data.</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93"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0"/>
          <w:szCs w:val="20"/>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Pediatric exclusivity is another type of non -patent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FDA may only grant pediatric exclusivity if existing patent or exclusivity protections for the drug would otherwise expire at least 9 months after the grant of the pediatric exclusivity; FDA has 180 days to make a pediatric exclusivity determination once the NDA sponsor submits study reports required under the written request.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Orphan drug designation and exclusivity</w:t>
      </w:r>
    </w:p>
    <w:p>
      <w:pPr>
        <w:spacing w:after="0" w:line="2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 Among the other benefits of orphan drug designation</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700"/>
          </w:cols>
          <w:pgMar w:left="1080" w:top="1066" w:right="1100" w:bottom="542" w:gutter="0" w:footer="0" w:header="0"/>
          <w:type w:val="continuous"/>
        </w:sectPr>
      </w:pPr>
    </w:p>
    <w:bookmarkStart w:id="35" w:name="page36"/>
    <w:bookmarkEnd w:id="35"/>
    <w:p>
      <w:pPr>
        <w:ind w:right="560"/>
        <w:spacing w:after="0" w:line="278" w:lineRule="auto"/>
        <w:rPr>
          <w:sz w:val="20"/>
          <w:szCs w:val="20"/>
          <w:color w:val="auto"/>
        </w:rPr>
      </w:pPr>
      <w:r>
        <w:rPr>
          <w:rFonts w:ascii="Times New Roman" w:cs="Times New Roman" w:eastAsia="Times New Roman" w:hAnsi="Times New Roman"/>
          <w:sz w:val="20"/>
          <w:szCs w:val="20"/>
          <w:color w:val="auto"/>
        </w:rPr>
        <w:t>are tax credits for certain research and an exemption from the NDA or BLA application fee. The FDA may revoke orphan drug designation, and if it does, it will publicize that the drug is no longer designated as an orphan drug.</w:t>
      </w:r>
    </w:p>
    <w:p>
      <w:pPr>
        <w:spacing w:after="0" w:line="16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If the sponsor of a product with orphan designation receives the first FDA approval for that drug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drug exclusivity, however, could also block the approval of one of our therapeutic candidates for seven years if a competitor obtains orphan drug designation and FDA approval of the same therapeutic candidate for the same condition or disease as our orphan-designated drug.</w:t>
      </w:r>
    </w:p>
    <w:p>
      <w:pPr>
        <w:spacing w:after="0" w:line="2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9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addition, as the FDA has interpreted the Orphan Drug Act, even if a previously approved same drug does not have unexpired orphan exclusivity, a demonstration of clinical superiority is required for a subsequent marketing application for the same orphan-designated drug for the same disease or condition to be awarded a 7-year period of orphan exclusivity upon marketing approval. In recent years, there have been multiple legal challenges to this FDA interpretation, and in August 2017, Congress amended the orphan drug provisions of the FDCA through enactment of the FDA Reauthorization Act of 2017 to codify FDA’s longstanding interpretation. Section 527 of the FDCA now expressly provides that if a sponsor of an orphan-designated drug that is otherwise the same as an already approved drug for the same rare disease or condition is seeking orphan exclusivity, FDA shall require such sponsor, to demonstrate that such drug is clinically superior to any already approved or licensed drug that is the same drug in order to obtain orphan drug exclusivity.</w:t>
      </w:r>
    </w:p>
    <w:p>
      <w:pPr>
        <w:spacing w:after="0" w:line="20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In September 2021, the United States Court of Appeals for the Eleventh Circuit decided in </w:t>
      </w:r>
      <w:r>
        <w:rPr>
          <w:rFonts w:ascii="Times New Roman" w:cs="Times New Roman" w:eastAsia="Times New Roman" w:hAnsi="Times New Roman"/>
          <w:sz w:val="20"/>
          <w:szCs w:val="20"/>
          <w:i w:val="1"/>
          <w:iCs w:val="1"/>
          <w:color w:val="auto"/>
        </w:rPr>
        <w:t>Catalyst Pharmaceuticals, Inc.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FDA </w:t>
      </w:r>
      <w:r>
        <w:rPr>
          <w:rFonts w:ascii="Times New Roman" w:cs="Times New Roman" w:eastAsia="Times New Roman" w:hAnsi="Times New Roman"/>
          <w:sz w:val="20"/>
          <w:szCs w:val="20"/>
          <w:color w:val="auto"/>
        </w:rPr>
        <w:t>that the FDA’s interpretation of orphan drug exclusivity “for the same drug for the same disease or condition”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meaning the same “use or indication” was inappropriately narrow. This decision had the potential to significantly broaden the scope of orphan drug exclusivity for drugs that receive marketing approval for orphan indications that are narrower than their orphan-designated conditions in the United States. On January 24, 2023, the FDA issued a statement to address the uncertainty created by the circuit court’s decision in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This notification announced that, at this time, in matters beyond the scope of that court order (i.e., ordering the FDA to set aside its approval of the specific drug at issue), the FDA intends to continue to apply its existing regulations tying orphan-drug exclusivity to the uses or indications for which the orphan drug was approved. We cannot guarantee which rules and interpretations will be governing going forward in different situations, that the FDA will maintain this current position, or that other judicial actions will not impact the FDA’s application of the Orphan Drug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Patent term restoration and extension</w:t>
      </w:r>
    </w:p>
    <w:p>
      <w:pPr>
        <w:spacing w:after="0" w:line="23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less any time the applicant did not act with due diligence during the period, plus the time between the submission date of an NDA and the ultimate approval date less any time the applicant did not act with due diligence during the period. Patent term restoration cannot be used to extend the remaining term of a patent past a total of 14 years from the product’s approval date. Only one patent applicable to an approved drug product is eligible for the extension, only those claims covering the approved drug, a method for using it, or a method for manufacturing it may be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720"/>
          </w:cols>
          <w:pgMar w:left="1080" w:top="1066" w:right="1080" w:bottom="542" w:gutter="0" w:footer="0" w:header="0"/>
          <w:type w:val="continuous"/>
        </w:sectPr>
      </w:pPr>
    </w:p>
    <w:bookmarkStart w:id="36" w:name="page37"/>
    <w:bookmarkEnd w:id="36"/>
    <w:p>
      <w:pPr>
        <w:ind w:right="60"/>
        <w:spacing w:after="0" w:line="244" w:lineRule="auto"/>
        <w:rPr>
          <w:sz w:val="20"/>
          <w:szCs w:val="20"/>
          <w:color w:val="auto"/>
        </w:rPr>
      </w:pPr>
      <w:r>
        <w:rPr>
          <w:rFonts w:ascii="Times New Roman" w:cs="Times New Roman" w:eastAsia="Times New Roman" w:hAnsi="Times New Roman"/>
          <w:sz w:val="20"/>
          <w:szCs w:val="20"/>
          <w:color w:val="auto"/>
        </w:rPr>
        <w:t>extended, and the application for the extension must be submitted prior to the expiration of the patent in question. A patent that covers multiple drugs for which approval is sought can only be extended in connection with one of the approvals. The USPTO reviews and approves the application for any patent term extension or restoration in consultation with the FDA.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Regulations outside the United States</w:t>
      </w:r>
    </w:p>
    <w:p>
      <w:pPr>
        <w:spacing w:after="0" w:line="24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We will be subject to similar foreign laws and regulations concerning the development of our product candidates outside of the United States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4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 -payments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21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700"/>
          </w:cols>
          <w:pgMar w:left="1080" w:top="1066" w:right="1100" w:bottom="542" w:gutter="0" w:footer="0" w:header="0"/>
          <w:type w:val="continuous"/>
        </w:sectPr>
      </w:pPr>
    </w:p>
    <w:bookmarkStart w:id="37" w:name="page38"/>
    <w:bookmarkEnd w:id="37"/>
    <w:p>
      <w:pPr>
        <w:ind w:right="320"/>
        <w:spacing w:after="0" w:line="249" w:lineRule="auto"/>
        <w:rPr>
          <w:sz w:val="20"/>
          <w:szCs w:val="20"/>
          <w:color w:val="auto"/>
        </w:rPr>
      </w:pPr>
      <w:r>
        <w:rPr>
          <w:rFonts w:ascii="Times New Roman" w:cs="Times New Roman" w:eastAsia="Times New Roman" w:hAnsi="Times New Roman"/>
          <w:sz w:val="20"/>
          <w:szCs w:val="20"/>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law and regulation</w:t>
      </w:r>
    </w:p>
    <w:p>
      <w:pPr>
        <w:spacing w:after="0" w:line="23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the United States, our activities are potentially subject to regulation by various federal, state, and local authorities in addition to the FDA, including but not limited to, CMS, other divisions of the U.S. Department of Health and Human Services (such as the Office of Inspector General, or OIG, and the Health Resources and Service Administration), the U.S. Department of Justice, and individual U.S. Attorney offices, and state and local governments. For example, sales, marketing, and scientific/educational grant programs are subject to the federal Anti-Kickback Statute and the federal False Claims Act, may have to comply with the privacy and security provisions of HIPAA (defined below), and may be subject to similar state laws, each as amended, as applicable.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applicable federal and state healthcare laws and regulations, include, without limitation, the following:</w:t>
      </w:r>
    </w:p>
    <w:p>
      <w:pPr>
        <w:spacing w:after="0" w:line="255" w:lineRule="exact"/>
        <w:rPr>
          <w:sz w:val="20"/>
          <w:szCs w:val="20"/>
          <w:color w:val="auto"/>
        </w:rPr>
      </w:pPr>
    </w:p>
    <w:p>
      <w:pPr>
        <w:ind w:left="1080" w:hanging="353"/>
        <w:spacing w:after="0" w:line="241" w:lineRule="auto"/>
        <w:tabs>
          <w:tab w:leader="none" w:pos="10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The Federal Anti-Kickback Statute</w:t>
      </w:r>
      <w:r>
        <w:rPr>
          <w:rFonts w:ascii="Times New Roman" w:cs="Times New Roman" w:eastAsia="Times New Roman" w:hAnsi="Times New Roman"/>
          <w:sz w:val="20"/>
          <w:szCs w:val="20"/>
          <w:color w:val="auto"/>
        </w:rPr>
        <w:t>—An intent-based federal criminal statute that prohibits, among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things, any person from knowingly and willfully soliciting, offering, receiving or paying remuneration, directly or indirectly, in cash or in kind, to induce or reward, or in return for, either the referral of an individual for, or the purchase, order or recommendation or arranging of, any good or service, for which payment may be made, in whole or in part, by a federal health care program, such as Medicare and Medicaid. The term “remuneration” has been broadly interpreted to include anything of value. The PPACA (as defined below),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practices from prosecution, the exceptions and safe harbors are narrowly drawn, and arrangements may be subject to scrutiny or penalty if they do not fully satisfy all elements of an available exception or safe harbor. The Anti-Kickback Statute safe harbors have been the subject of recent regulatory reforms. As a general matter, however,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216" w:lineRule="exact"/>
        <w:rPr>
          <w:rFonts w:ascii="Symbol" w:cs="Symbol" w:eastAsia="Symbol" w:hAnsi="Symbol"/>
          <w:sz w:val="20"/>
          <w:szCs w:val="20"/>
          <w:color w:val="auto"/>
        </w:rPr>
      </w:pPr>
    </w:p>
    <w:p>
      <w:pPr>
        <w:ind w:left="1080" w:hanging="353"/>
        <w:spacing w:after="0" w:line="242" w:lineRule="auto"/>
        <w:tabs>
          <w:tab w:leader="none" w:pos="10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The Federal Civil False Claims Act</w:t>
      </w:r>
      <w:r>
        <w:rPr>
          <w:rFonts w:ascii="Times New Roman" w:cs="Times New Roman" w:eastAsia="Times New Roman" w:hAnsi="Times New Roman"/>
          <w:sz w:val="20"/>
          <w:szCs w:val="20"/>
          <w:color w:val="auto"/>
        </w:rPr>
        <w:t>—Imposes civil penalties, including through civil whistleblower or</w:t>
      </w:r>
      <w:r>
        <w:rPr>
          <w:rFonts w:ascii="Times New Roman" w:cs="Times New Roman" w:eastAsia="Times New Roman" w:hAnsi="Times New Roman"/>
          <w:sz w:val="20"/>
          <w:szCs w:val="20"/>
          <w:i w:val="1"/>
          <w:iCs w:val="1"/>
          <w:color w:val="auto"/>
        </w:rPr>
        <w:t xml:space="preserve"> qui tam </w:t>
      </w:r>
      <w:r>
        <w:rPr>
          <w:rFonts w:ascii="Times New Roman" w:cs="Times New Roman" w:eastAsia="Times New Roman" w:hAnsi="Times New Roman"/>
          <w:sz w:val="20"/>
          <w:szCs w:val="20"/>
          <w:color w:val="auto"/>
        </w:rPr>
        <w:t>actions, against individuals or entities for, among other things, knowingly presenting, or causing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$11,803 to $23,607 per false claim or statement for penalties assessed after December 13, 2021, with respect to violations occurring after November 2, 2015. Pharmaceutical companies have been investigated and/or subject to government enforcement actions asserting liability under the federal civil False Claims Act in</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680"/>
          </w:cols>
          <w:pgMar w:left="1080" w:top="1066" w:right="1120" w:bottom="542" w:gutter="0" w:footer="0" w:header="0"/>
          <w:type w:val="continuous"/>
        </w:sectPr>
      </w:pPr>
    </w:p>
    <w:bookmarkStart w:id="38" w:name="page39"/>
    <w:bookmarkEnd w:id="38"/>
    <w:p>
      <w:pPr>
        <w:ind w:left="720"/>
        <w:spacing w:after="0" w:line="243" w:lineRule="auto"/>
        <w:rPr>
          <w:sz w:val="20"/>
          <w:szCs w:val="20"/>
          <w:color w:val="auto"/>
        </w:rPr>
      </w:pPr>
      <w:r>
        <w:rPr>
          <w:rFonts w:ascii="Times New Roman" w:cs="Times New Roman" w:eastAsia="Times New Roman" w:hAnsi="Times New Roman"/>
          <w:sz w:val="20"/>
          <w:szCs w:val="20"/>
          <w:color w:val="auto"/>
        </w:rPr>
        <w:t>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220" w:lineRule="exact"/>
        <w:rPr>
          <w:sz w:val="20"/>
          <w:szCs w:val="20"/>
          <w:color w:val="auto"/>
        </w:rPr>
      </w:pPr>
    </w:p>
    <w:p>
      <w:pPr>
        <w:ind w:left="720" w:right="100" w:hanging="353"/>
        <w:spacing w:after="0" w:line="245" w:lineRule="auto"/>
        <w:tabs>
          <w:tab w:leader="none" w:pos="72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The Federal Criminal Statute on False Statements Relating to Health Care Matters</w:t>
      </w:r>
      <w:r>
        <w:rPr>
          <w:rFonts w:ascii="Times New Roman" w:cs="Times New Roman" w:eastAsia="Times New Roman" w:hAnsi="Times New Roman"/>
          <w:sz w:val="20"/>
          <w:szCs w:val="20"/>
          <w:color w:val="auto"/>
        </w:rPr>
        <w:t>—Makes it a crime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214" w:lineRule="exact"/>
        <w:rPr>
          <w:rFonts w:ascii="Symbol" w:cs="Symbol" w:eastAsia="Symbol" w:hAnsi="Symbol"/>
          <w:sz w:val="20"/>
          <w:szCs w:val="20"/>
          <w:color w:val="auto"/>
        </w:rPr>
      </w:pPr>
    </w:p>
    <w:p>
      <w:pPr>
        <w:ind w:left="720" w:right="140" w:hanging="353"/>
        <w:spacing w:after="0" w:line="243" w:lineRule="auto"/>
        <w:tabs>
          <w:tab w:leader="none" w:pos="72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HIPAA Criminal Federal Health Care Fraud Statute</w:t>
      </w:r>
      <w:r>
        <w:rPr>
          <w:rFonts w:ascii="Times New Roman" w:cs="Times New Roman" w:eastAsia="Times New Roman" w:hAnsi="Times New Roman"/>
          <w:sz w:val="20"/>
          <w:szCs w:val="20"/>
          <w:color w:val="auto"/>
        </w:rPr>
        <w:t>—Enacted as part of the Health Insurance Portability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Accountability Act of 1996 (“HIPAA”), makes it a crime to knowingly and willfully execute, or attempt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 A violation of this statute is a felony and may result in fines, imprisonment or exclusion from government sponsored programs, or integrity oversight and reporting obligations to resolve allegations of non-compliance.</w:t>
      </w:r>
    </w:p>
    <w:p>
      <w:pPr>
        <w:spacing w:after="0" w:line="217" w:lineRule="exact"/>
        <w:rPr>
          <w:rFonts w:ascii="Symbol" w:cs="Symbol" w:eastAsia="Symbol" w:hAnsi="Symbol"/>
          <w:sz w:val="20"/>
          <w:szCs w:val="20"/>
          <w:color w:val="auto"/>
        </w:rPr>
      </w:pPr>
    </w:p>
    <w:p>
      <w:pPr>
        <w:ind w:left="720" w:right="80" w:hanging="353"/>
        <w:spacing w:after="0" w:line="243" w:lineRule="auto"/>
        <w:tabs>
          <w:tab w:leader="none" w:pos="72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The Federal Civil Monetary Penalties Law</w:t>
      </w:r>
      <w:r>
        <w:rPr>
          <w:rFonts w:ascii="Times New Roman" w:cs="Times New Roman" w:eastAsia="Times New Roman" w:hAnsi="Times New Roman"/>
          <w:sz w:val="20"/>
          <w:szCs w:val="20"/>
          <w:color w:val="auto"/>
        </w:rPr>
        <w:t>—Authorizes the imposition of substantial civil monetary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218" w:lineRule="exact"/>
        <w:rPr>
          <w:rFonts w:ascii="Symbol" w:cs="Symbol" w:eastAsia="Symbol" w:hAnsi="Symbol"/>
          <w:sz w:val="20"/>
          <w:szCs w:val="20"/>
          <w:color w:val="auto"/>
        </w:rPr>
      </w:pPr>
    </w:p>
    <w:p>
      <w:pPr>
        <w:ind w:left="720" w:hanging="353"/>
        <w:spacing w:after="0" w:line="241" w:lineRule="auto"/>
        <w:tabs>
          <w:tab w:leader="none" w:pos="72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HIPAA Health Information Privacy and Security</w:t>
      </w:r>
      <w:r>
        <w:rPr>
          <w:rFonts w:ascii="Times New Roman" w:cs="Times New Roman" w:eastAsia="Times New Roman" w:hAnsi="Times New Roman"/>
          <w:sz w:val="20"/>
          <w:szCs w:val="20"/>
          <w:color w:val="auto"/>
        </w:rPr>
        <w:t>—Numerous federal and state laws, rules and regulations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 the collection, dissemination, use, privacy, security and confidentiality of personal information. HIPAA, as amended by the federal Health Information Technology for Economic and Clinical Health Act (“HITECH”), in addition to the criminal powers described above, HIPAA requires covered entities, including health plans and most health care providers, to implement administrative, physical, and technical safeguards to protect the privacy and security of covered information (known as “protected health information”) and sets limits and conditions on the uses and disclosures that may be made of such information without the authorization of the relevant individual. HIPAA’s Security Rule and certain provisions of the HIPAA Privacy Rule and Breach Notification Rule apply to business associates of covered entities (i.e., entities that provide services to covered entities that may require access and use of handle protected health information on behalf of covered entities), and business associates are subject to direct liability for violation of these Rules. In addition, a covered entity may be subject to criminal and civil penalties as a result of a business associate violating HIPAA, if the business associate is found to be an agent of the covered entity. Covered entities must report breaches of unsecured protected health information to affected individuals without unreasonable delay and notification must also be made to the U.S. Department of Health &amp; Human Services, Office for Civil Rights (OCR) and, in certain situations involving large breaches, to the media. HITECH also created tiers of civil monetary penalties, amended HIPAA to make civil and criminal penalties directly applicable to business associates, and gave state</w:t>
      </w:r>
    </w:p>
    <w:p>
      <w:pPr>
        <w:sectPr>
          <w:pgSz w:w="11880" w:h="15480" w:orient="portrait"/>
          <w:cols w:equalWidth="0" w:num="1">
            <w:col w:w="9340"/>
          </w:cols>
          <w:pgMar w:left="1440" w:top="1066" w:right="1100" w:bottom="542"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340"/>
          </w:cols>
          <w:pgMar w:left="1440" w:top="1066" w:right="1100" w:bottom="542" w:gutter="0" w:footer="0" w:header="0"/>
          <w:type w:val="continuous"/>
        </w:sectPr>
      </w:pPr>
    </w:p>
    <w:bookmarkStart w:id="39" w:name="page40"/>
    <w:bookmarkEnd w:id="39"/>
    <w:p>
      <w:pPr>
        <w:ind w:left="720" w:right="80"/>
        <w:spacing w:after="0" w:line="243" w:lineRule="auto"/>
        <w:rPr>
          <w:sz w:val="20"/>
          <w:szCs w:val="20"/>
          <w:color w:val="auto"/>
        </w:rPr>
      </w:pPr>
      <w:r>
        <w:rPr>
          <w:rFonts w:ascii="Times New Roman" w:cs="Times New Roman" w:eastAsia="Times New Roman" w:hAnsi="Times New Roman"/>
          <w:sz w:val="20"/>
          <w:szCs w:val="20"/>
          <w:color w:val="auto"/>
        </w:rPr>
        <w:t>attorneys general new authority to file civil actions for damages or injunctions in U.S. federal courts to enforce the federal HIPAA laws and seek attorneys’ fees and costs associated with pursuing federal civil actions. OCR enforces the HIPAA Rules and performs compliance audits and investigations. In addition to enforcement by OCR, HIPAA authorizes state attorneys general to bring civil actions seeking either injunction or damages in response to HIPAA violations that impact state residents. On December 1, 2022, OCR issued a bulletin on the requirements under HIPAA for online tracking technologies (e.g., cookies, pixels) to protect the privacy and security of health information. This bulletin outlined OCR’s position on the use of online tracking technology vendors, when certain information received by such vendors constitutes protected health information under HIPAA, and accordingly, when business associate agreements must be executed between covered entities and such vendors. The HIPAA Rules impose and will continue to impose significant costs on us in order to comply with these standards.</w:t>
      </w:r>
    </w:p>
    <w:p>
      <w:pPr>
        <w:spacing w:after="0" w:line="224" w:lineRule="exact"/>
        <w:rPr>
          <w:sz w:val="20"/>
          <w:szCs w:val="20"/>
          <w:color w:val="auto"/>
        </w:rPr>
      </w:pPr>
    </w:p>
    <w:p>
      <w:pPr>
        <w:ind w:left="720" w:hanging="353"/>
        <w:spacing w:after="0"/>
        <w:tabs>
          <w:tab w:leader="none" w:pos="72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Other Privacy Laws</w:t>
      </w:r>
      <w:r>
        <w:rPr>
          <w:rFonts w:ascii="Times New Roman" w:cs="Times New Roman" w:eastAsia="Times New Roman" w:hAnsi="Times New Roman"/>
          <w:sz w:val="20"/>
          <w:szCs w:val="20"/>
          <w:color w:val="auto"/>
        </w:rPr>
        <w:t>—HIPAA establishes a federal “floor” with respect to privacy, security, and breach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notification requirements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For example, the Federal Trade Commission (FTC) uses its consumer protection authority to initiate enforcement actions against companies relating to their use and disclosure of personally identifiable information. Specifically, FTC has asserted authority and issued enforcement actions in response to actual or perceived unfair or deceptive practices by a company in the handling of consumer information. The FTC has also pursued enforcement actions against companies for violations of its Health Breach Notification Rule and the Children’s Online Privacy Protection Act. Further, certain states have proposed or enacted legislation that will create new data privacy and security obligations for certain entities. These new laws include the California Consumer Privacy Act, or CCPA, which came into effect January 1, 2020 and was amended and expanded by the California Privacy Rights Act, or CPRA, passed on November 3, 2020, and effective as of January 1, 2023; the Virginia Consumer Data Protection Act, effective as of January 1, 2023; the Colorado Privacy Act and the Connecticut Data Privacy Act, both effective as of July 1, 2023; the Utah Consumer Privacy Act, effective as of December 31, 2023, and the Washington My Health My Data Act (“MHMDA”), with certain provisions effective as of July 1, 2023 and other provisions effective March 31, 2024. Among other things, these state-specific laws create new data privacy obligations for covered companies and provide new privacy rights to state residents, including the right to opt out of certain disclosures of their information. The CCPA also created a private right of action with statutory damages for certain data breaches, thereby potentially increasing risks associated with a data breach. The MHMDA also contains a private right of actions. Draft regulations implementing the state statutes have been published, but many questions remain as to how all of the new statutes will be interpreted. The effects of state data protection laws are significant and have required us to modify our data processing practices and may cause us to incur substantial costs and expenses to ensure ongoing compliance, particularly given our base of operations in California. Various U.S. state laws and regulations may also require us to notify affected individuals and state agencies in the event of a data breach involving individually identifiable information. In addition to the laws discussed above, we may see more stringent state and federal privacy legislation passed in 2024 and beyond, as the increased cyber-attacks during the ongoing COVID-19 pandemic have once again put a spotlight on data privacy and security in the U.S. and other jurisdictions. We cannot predict where new legislation might arise, the scope of such legislation, or the potential impact to our business and operations. We expect to incur additional costs to ensure that our data privacy and security policies, procedures, and activities comply with applicable and evolving legal requirements.</w:t>
      </w:r>
    </w:p>
    <w:p>
      <w:pPr>
        <w:spacing w:after="0" w:line="238" w:lineRule="exact"/>
        <w:rPr>
          <w:rFonts w:ascii="Symbol" w:cs="Symbol" w:eastAsia="Symbol" w:hAnsi="Symbol"/>
          <w:sz w:val="20"/>
          <w:szCs w:val="20"/>
          <w:color w:val="auto"/>
        </w:rPr>
      </w:pPr>
    </w:p>
    <w:p>
      <w:pPr>
        <w:ind w:left="720" w:right="40" w:hanging="353"/>
        <w:spacing w:after="0" w:line="245" w:lineRule="auto"/>
        <w:tabs>
          <w:tab w:leader="none" w:pos="72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The Federal Physician Payments Sunshine Act</w:t>
      </w:r>
      <w:r>
        <w:rPr>
          <w:rFonts w:ascii="Times New Roman" w:cs="Times New Roman" w:eastAsia="Times New Roman" w:hAnsi="Times New Roman"/>
          <w:sz w:val="20"/>
          <w:szCs w:val="20"/>
          <w:color w:val="auto"/>
        </w:rPr>
        <w:t>—Requires “applicable manufacturers” of drugs, devices,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biologics, and medical supplies for 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physician</w:t>
      </w:r>
    </w:p>
    <w:p>
      <w:pPr>
        <w:sectPr>
          <w:pgSz w:w="11880" w:h="15480" w:orient="portrait"/>
          <w:cols w:equalWidth="0" w:num="1">
            <w:col w:w="9360"/>
          </w:cols>
          <w:pgMar w:left="1440" w:top="1066" w:right="1080" w:bottom="542"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360"/>
          </w:cols>
          <w:pgMar w:left="1440" w:top="1066" w:right="1080" w:bottom="542" w:gutter="0" w:footer="0" w:header="0"/>
          <w:type w:val="continuous"/>
        </w:sectPr>
      </w:pPr>
    </w:p>
    <w:bookmarkStart w:id="40" w:name="page41"/>
    <w:bookmarkEnd w:id="40"/>
    <w:p>
      <w:pPr>
        <w:ind w:left="1080" w:right="40"/>
        <w:spacing w:after="0" w:line="244" w:lineRule="auto"/>
        <w:rPr>
          <w:sz w:val="20"/>
          <w:szCs w:val="20"/>
          <w:color w:val="auto"/>
        </w:rPr>
      </w:pPr>
      <w:r>
        <w:rPr>
          <w:rFonts w:ascii="Times New Roman" w:cs="Times New Roman" w:eastAsia="Times New Roman" w:hAnsi="Times New Roman"/>
          <w:sz w:val="20"/>
          <w:szCs w:val="20"/>
          <w:color w:val="auto"/>
        </w:rPr>
        <w:t>assistants, nurse practitioners, clinical nurse specialists, anesthesiologist assistants, certified nurse anesthetists, and certified nurse midwives. If we become an applicable manufacturer, reimbursable by federal healthcare programs, then we will be subject to this law, which would require us to track and annually report certain direct or indirect payments and other transfers of value to such covered recipients. We are also required to report certain ownership or investment interests held by physicians and their immediate family members. CMS has the potential to impose penalties of up to $1.36 million per year for violations of the Physician Payment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spacing w:after="0" w:line="217" w:lineRule="exact"/>
        <w:rPr>
          <w:sz w:val="20"/>
          <w:szCs w:val="20"/>
          <w:color w:val="auto"/>
        </w:rPr>
      </w:pPr>
    </w:p>
    <w:p>
      <w:pPr>
        <w:ind w:left="1080" w:right="580" w:hanging="353"/>
        <w:spacing w:after="0" w:line="262" w:lineRule="auto"/>
        <w:tabs>
          <w:tab w:leader="none" w:pos="108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The Federal Food, Drug and Cosmetic Act</w:t>
      </w:r>
      <w:r>
        <w:rPr>
          <w:rFonts w:ascii="Times New Roman" w:cs="Times New Roman" w:eastAsia="Times New Roman" w:hAnsi="Times New Roman"/>
          <w:sz w:val="20"/>
          <w:szCs w:val="20"/>
          <w:color w:val="auto"/>
        </w:rPr>
        <w:t>—A set of laws, which prohibits, among other things,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adulteration or misbranding of drugs, biologics and medical devices.</w:t>
      </w:r>
    </w:p>
    <w:p>
      <w:pPr>
        <w:spacing w:after="0" w:line="195" w:lineRule="exact"/>
        <w:rPr>
          <w:rFonts w:ascii="Symbol" w:cs="Symbol" w:eastAsia="Symbol" w:hAnsi="Symbol"/>
          <w:sz w:val="20"/>
          <w:szCs w:val="20"/>
          <w:color w:val="auto"/>
        </w:rPr>
      </w:pPr>
    </w:p>
    <w:p>
      <w:pPr>
        <w:ind w:left="1080" w:hanging="353"/>
        <w:spacing w:after="0" w:line="243" w:lineRule="auto"/>
        <w:tabs>
          <w:tab w:leader="none" w:pos="108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Analogous State and Foreign Laws</w:t>
      </w:r>
      <w:r>
        <w:rPr>
          <w:rFonts w:ascii="Times New Roman" w:cs="Times New Roman" w:eastAsia="Times New Roman" w:hAnsi="Times New Roman"/>
          <w:sz w:val="20"/>
          <w:szCs w:val="20"/>
          <w:color w:val="auto"/>
        </w:rPr>
        <w:t>—There are state and foreign law equivalents of the above federal laws,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as the Anti-Kickback Statute and the False Claims Act, which may apply to items or services reimbursed by any third-party payor, including commercial insurers (i.e., so-called “all-payor anti-kickback laws”), as well as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with respect to state laws, are often not pre-empted by HIPAA, thus requiring additional compliance efforts.</w:t>
      </w:r>
    </w:p>
    <w:p>
      <w:pPr>
        <w:spacing w:after="0" w:line="217" w:lineRule="exact"/>
        <w:rPr>
          <w:rFonts w:ascii="Symbol" w:cs="Symbol" w:eastAsia="Symbol" w:hAnsi="Symbol"/>
          <w:sz w:val="20"/>
          <w:szCs w:val="20"/>
          <w:color w:val="auto"/>
        </w:rPr>
      </w:pPr>
    </w:p>
    <w:p>
      <w:pPr>
        <w:ind w:left="1080" w:hanging="353"/>
        <w:spacing w:after="0" w:line="241" w:lineRule="auto"/>
        <w:tabs>
          <w:tab w:leader="none" w:pos="108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State and Foreign Laws Regulating Pharmaceutical Manufacturer Compliance Programs, Drug Price Transparency, and Other Practices</w:t>
      </w:r>
      <w:r>
        <w:rPr>
          <w:rFonts w:ascii="Times New Roman" w:cs="Times New Roman" w:eastAsia="Times New Roman" w:hAnsi="Times New Roman"/>
          <w:sz w:val="20"/>
          <w:szCs w:val="20"/>
          <w:color w:val="auto"/>
        </w:rPr>
        <w:t>—Some state and foreign laws require pharmaceutical companies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223" w:lineRule="exact"/>
        <w:rPr>
          <w:rFonts w:ascii="Symbol" w:cs="Symbol" w:eastAsia="Symbol" w:hAnsi="Symbol"/>
          <w:sz w:val="20"/>
          <w:szCs w:val="20"/>
          <w:color w:val="auto"/>
        </w:rPr>
      </w:pPr>
    </w:p>
    <w:p>
      <w:pPr>
        <w:ind w:left="1080" w:right="80" w:hanging="353"/>
        <w:spacing w:after="0" w:line="243" w:lineRule="auto"/>
        <w:tabs>
          <w:tab w:leader="none" w:pos="108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FCPA and Other Anti-Bribery and Anti-Corruption Laws</w:t>
      </w:r>
      <w:r>
        <w:rPr>
          <w:rFonts w:ascii="Times New Roman" w:cs="Times New Roman" w:eastAsia="Times New Roman" w:hAnsi="Times New Roman"/>
          <w:sz w:val="20"/>
          <w:szCs w:val="20"/>
          <w:color w:val="auto"/>
        </w:rPr>
        <w:t>—The U.S. Foreign Corrupt Practices Act,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in many countries, either directly or through our contracted distributors. Our present and future business has been and will continue to be subject to various other U.S. and foreign laws, rules and/or regulations.</w:t>
      </w:r>
    </w:p>
    <w:p>
      <w:pPr>
        <w:spacing w:after="0" w:line="20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drug rebate agreement with the Secretary of the Department of Health and Human Services in exchange for state Medicaid coverage of most of the manufacturer’s drugs and pay</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700"/>
          </w:cols>
          <w:pgMar w:left="1080" w:top="1066" w:right="1100" w:bottom="542" w:gutter="0" w:footer="0" w:header="0"/>
          <w:type w:val="continuous"/>
        </w:sectPr>
      </w:pPr>
    </w:p>
    <w:bookmarkStart w:id="41" w:name="page42"/>
    <w:bookmarkEnd w:id="41"/>
    <w:p>
      <w:pPr>
        <w:ind w:right="60"/>
        <w:spacing w:after="0" w:line="244" w:lineRule="auto"/>
        <w:rPr>
          <w:sz w:val="20"/>
          <w:szCs w:val="20"/>
          <w:color w:val="auto"/>
        </w:rPr>
      </w:pPr>
      <w:r>
        <w:rPr>
          <w:rFonts w:ascii="Times New Roman" w:cs="Times New Roman" w:eastAsia="Times New Roman" w:hAnsi="Times New Roman"/>
          <w:sz w:val="20"/>
          <w:szCs w:val="20"/>
          <w:color w:val="auto"/>
        </w:rPr>
        <w:t>quarterly rebates based on utilization of a manufacturer’s covered outpatient drugs under the program as a condition for states to receive federal matching funds for a manufacturer’s covered outpatient drugs furnished to Medicaid patients and in order for payment to be available for a manufacturer’s drugs under Medicare Part B. When a manufacturer markets a new covered outpatient drug (COD), it must also submit product and pricing data concerning the drug to CMS via the Medicaid Drug Programs (MDP) system. Pharmaceutical manufacturers are also required to participate in the 340B Drug Pricing Program, administered by the Health Resources and Services Administration (HRSA) in order for payment to be available for a manufacturer’s drugs under Medicaid and Medicare Part B. Under the 340B Drug Pricing Program, a manufacturer must charge no more than the 340B “ceiling price” for its covered outpatient drugs purchased by statutorily defined covered entities that participate in the program.</w:t>
      </w:r>
    </w:p>
    <w:p>
      <w:pPr>
        <w:spacing w:after="0" w:line="2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federal law requires that, in order for payment to be available for a manufacturer’s drugs under Medicaid and Medicare Part B, as well as to be purchased by certain federal agencies and grantees, it must also participate in the Department of Veterans Affairs (“VA”) Federal Supply Schedule (“FSS”) pricing program. To participate, manufacturers are required to enter into an FSS contract and other agreements with the VA for their covered drugs. Under these agreements, manufacturers must make their covered drugs available to the “Big Four” federal agencies— the VA, the Department of Defense (“DoD”), the Public Health Service (including the Indian Health Service), and the Coast Guard—at pricing that is capped pursuant to a statutory federal ceiling price, or FCP, formula. The FCP is based on a weighted average non-federal average manufacturer price, which manufacturers are required to report on a quarterly and annual basis to the VA. Further, pursuant to regulations issued by the DoD to implement Section 703 of the National Defense Authorization Act for Fiscal Year 2008, manufacturers may enter into an agreement with the Defense Health Agency (DHA) under which they agree to honor “Big Four” pricing for their covered drugs when they are dispensed to TRICARE beneficiaries by TRICARE retail network pharmacies.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As part of the requirements to participate in these government programs, many pharmaceutical manufacturers must calculate and report certain price reporting metrics to the government, such as average manufacturer price, best price, average sales price, and non-federal average manufacturer price. The calculations can be complex and are often subject to interpretation by manufacturers, governmental or regulatory agencies and the courts. Governmental agencies may also make changes in program interpretations, requirements, or conditions of participation, some of which may have implications for amounts previously estimated or paid. Any failure to comply with these price reporting and rebate payment obligations, when applicable, could negatively impact our financial results. Civil monetary penalties can be applied if a manufacturer is found to have knowingly submitted any false price information to the government, if a manufacturer is found to have made a misrepresentation in the reporting of its average sales price, or if a manufacturer fails to submit the required price data on a timely basis. Such conduct also could be grounds for CMS to terminate a manufacturer’s Medicaid drug rebate agreement, in which case federal payments may not be available under Medicaid or Medicare Part B for a manufacturer’s covered outpatient drugs and may provide a basis for other potential liability under other federal laws such as the False Claims Act.</w:t>
      </w:r>
    </w:p>
    <w:p>
      <w:pPr>
        <w:spacing w:after="0" w:line="20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eliminated entirely.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 from government-funded healthcare programs.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720"/>
          </w:cols>
          <w:pgMar w:left="1080" w:top="1066" w:right="1080" w:bottom="542"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auto"/>
        </w:rPr>
        <w:t>U.S. healthcare reform</w:t>
      </w:r>
    </w:p>
    <w:p>
      <w:pPr>
        <w:spacing w:after="0" w:line="23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Patient Protection and Affordable Care Act, as amended by the Health Care and Education Reconciliation Act (collectively, “PPACA”) has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217" w:lineRule="exact"/>
        <w:rPr>
          <w:sz w:val="20"/>
          <w:szCs w:val="20"/>
          <w:color w:val="auto"/>
        </w:rPr>
      </w:pPr>
    </w:p>
    <w:p>
      <w:pPr>
        <w:ind w:left="1080" w:right="380" w:hanging="353"/>
        <w:spacing w:after="0" w:line="250"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an annual, nondeductible fee on any entity that manufactures or imports specified branded prescription drugs and biologic agents, apportioned among these entities according to their market share in certain federal programs identified in the PPACA;</w:t>
      </w:r>
    </w:p>
    <w:p>
      <w:pPr>
        <w:spacing w:after="0" w:line="210" w:lineRule="exact"/>
        <w:rPr>
          <w:rFonts w:ascii="Symbol" w:cs="Symbol" w:eastAsia="Symbol" w:hAnsi="Symbol"/>
          <w:sz w:val="20"/>
          <w:szCs w:val="20"/>
          <w:color w:val="auto"/>
        </w:rPr>
      </w:pPr>
    </w:p>
    <w:p>
      <w:pPr>
        <w:ind w:left="1080" w:right="80" w:hanging="353"/>
        <w:spacing w:after="0" w:line="250"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expansion of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208" w:lineRule="exact"/>
        <w:rPr>
          <w:rFonts w:ascii="Symbol" w:cs="Symbol" w:eastAsia="Symbol" w:hAnsi="Symbol"/>
          <w:sz w:val="20"/>
          <w:szCs w:val="20"/>
          <w:color w:val="auto"/>
        </w:rPr>
      </w:pPr>
    </w:p>
    <w:p>
      <w:pPr>
        <w:ind w:left="1080" w:right="180" w:hanging="353"/>
        <w:spacing w:after="0" w:line="270" w:lineRule="auto"/>
        <w:tabs>
          <w:tab w:leader="none" w:pos="1080" w:val="left"/>
        </w:tabs>
        <w:numPr>
          <w:ilvl w:val="0"/>
          <w:numId w:val="19"/>
        </w:numPr>
        <w:rPr>
          <w:rFonts w:ascii="Symbol" w:cs="Symbol" w:eastAsia="Symbol" w:hAnsi="Symbol"/>
          <w:sz w:val="19"/>
          <w:szCs w:val="19"/>
          <w:color w:val="auto"/>
        </w:rPr>
      </w:pPr>
      <w:r>
        <w:rPr>
          <w:rFonts w:ascii="Times New Roman" w:cs="Times New Roman" w:eastAsia="Times New Roman" w:hAnsi="Times New Roman"/>
          <w:sz w:val="19"/>
          <w:szCs w:val="19"/>
          <w:color w:val="auto"/>
        </w:rPr>
        <w:t>expansion of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90" w:lineRule="exact"/>
        <w:rPr>
          <w:rFonts w:ascii="Symbol" w:cs="Symbol" w:eastAsia="Symbol" w:hAnsi="Symbol"/>
          <w:sz w:val="19"/>
          <w:szCs w:val="19"/>
          <w:color w:val="auto"/>
        </w:rPr>
      </w:pPr>
    </w:p>
    <w:p>
      <w:pPr>
        <w:ind w:left="1080" w:right="280" w:hanging="353"/>
        <w:spacing w:after="0" w:line="262"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extension of manufacturers’ Medicaid rebate liability to covered drugs dispensed to individuals who are enrolled in Medicaid managed care organizations;</w:t>
      </w:r>
    </w:p>
    <w:p>
      <w:pPr>
        <w:spacing w:after="0" w:line="196" w:lineRule="exact"/>
        <w:rPr>
          <w:rFonts w:ascii="Symbol" w:cs="Symbol" w:eastAsia="Symbol" w:hAnsi="Symbol"/>
          <w:sz w:val="20"/>
          <w:szCs w:val="20"/>
          <w:color w:val="auto"/>
        </w:rPr>
      </w:pPr>
    </w:p>
    <w:p>
      <w:pPr>
        <w:ind w:left="1080" w:right="680" w:hanging="353"/>
        <w:spacing w:after="0" w:line="262"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a separate methodology by which rebates owed by manufacturers under the Medicaid Drug Rebate Program are calculated for drugs that are inhaled, infused, instilled, implanted or injected;</w:t>
      </w:r>
    </w:p>
    <w:p>
      <w:pPr>
        <w:spacing w:after="0" w:line="195" w:lineRule="exact"/>
        <w:rPr>
          <w:rFonts w:ascii="Symbol" w:cs="Symbol" w:eastAsia="Symbol" w:hAnsi="Symbol"/>
          <w:sz w:val="20"/>
          <w:szCs w:val="20"/>
          <w:color w:val="auto"/>
        </w:rPr>
      </w:pPr>
    </w:p>
    <w:p>
      <w:pPr>
        <w:ind w:left="1080" w:hanging="353"/>
        <w:spacing w:after="0"/>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expansion of the types of entities eligible for the 340B drug discount program;</w:t>
      </w:r>
    </w:p>
    <w:p>
      <w:pPr>
        <w:spacing w:after="0" w:line="238" w:lineRule="exact"/>
        <w:rPr>
          <w:rFonts w:ascii="Symbol" w:cs="Symbol" w:eastAsia="Symbol" w:hAnsi="Symbol"/>
          <w:sz w:val="20"/>
          <w:szCs w:val="20"/>
          <w:color w:val="auto"/>
        </w:rPr>
      </w:pPr>
    </w:p>
    <w:p>
      <w:pPr>
        <w:ind w:left="1080" w:right="80" w:hanging="353"/>
        <w:spacing w:after="0" w:line="247"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establishment of the Medicare Part D coverage gap discount program that, as a condition for the manufacturers outpatient drugs to be covered under Medicare Part D, requires manufacturers to provide a now 70% point-of-sale-discount off the negotiated price of applicable brand drugs to eligible beneficiaries during their coverage gap period;</w:t>
      </w:r>
    </w:p>
    <w:p>
      <w:pPr>
        <w:spacing w:after="0" w:line="212" w:lineRule="exact"/>
        <w:rPr>
          <w:rFonts w:ascii="Symbol" w:cs="Symbol" w:eastAsia="Symbol" w:hAnsi="Symbol"/>
          <w:sz w:val="20"/>
          <w:szCs w:val="20"/>
          <w:color w:val="auto"/>
        </w:rPr>
      </w:pPr>
    </w:p>
    <w:p>
      <w:pPr>
        <w:ind w:left="1080" w:hanging="353"/>
        <w:spacing w:after="0" w:line="251"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establishment of the Center for Medicare and Medicaid Innovation within the Centers for Medicare and Medicaid Services to test innovative payment and service delivery models to lower Medicare and Medicaid spending, potentially including prescription drug spending;</w:t>
      </w:r>
    </w:p>
    <w:p>
      <w:pPr>
        <w:spacing w:after="0" w:line="207" w:lineRule="exact"/>
        <w:rPr>
          <w:rFonts w:ascii="Symbol" w:cs="Symbol" w:eastAsia="Symbol" w:hAnsi="Symbol"/>
          <w:sz w:val="20"/>
          <w:szCs w:val="20"/>
          <w:color w:val="auto"/>
        </w:rPr>
      </w:pPr>
    </w:p>
    <w:p>
      <w:pPr>
        <w:ind w:left="1080" w:right="60" w:hanging="353"/>
        <w:spacing w:after="0" w:line="262"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creation of the Patient-Centered Outcomes Research Institute to oversee, identify priorities in, and conduct comparative clinical effectiveness research, along with funding for such research;</w:t>
      </w:r>
    </w:p>
    <w:p>
      <w:pPr>
        <w:spacing w:after="0" w:line="195" w:lineRule="exact"/>
        <w:rPr>
          <w:rFonts w:ascii="Symbol" w:cs="Symbol" w:eastAsia="Symbol" w:hAnsi="Symbol"/>
          <w:sz w:val="20"/>
          <w:szCs w:val="20"/>
          <w:color w:val="auto"/>
        </w:rPr>
      </w:pPr>
    </w:p>
    <w:p>
      <w:pPr>
        <w:ind w:left="1080" w:right="220" w:hanging="353"/>
        <w:spacing w:after="0" w:line="262"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reporting of certain financial arrangements between manufacturers of drugs, biologics, devices, and medical supplies and physicians and teaching hospitals under the Physician Payments Sunshine Act; and</w:t>
      </w:r>
    </w:p>
    <w:p>
      <w:pPr>
        <w:spacing w:after="0" w:line="195" w:lineRule="exact"/>
        <w:rPr>
          <w:rFonts w:ascii="Symbol" w:cs="Symbol" w:eastAsia="Symbol" w:hAnsi="Symbol"/>
          <w:sz w:val="20"/>
          <w:szCs w:val="20"/>
          <w:color w:val="auto"/>
        </w:rPr>
      </w:pPr>
    </w:p>
    <w:p>
      <w:pPr>
        <w:ind w:left="1080" w:right="40" w:hanging="353"/>
        <w:spacing w:after="0" w:line="262" w:lineRule="auto"/>
        <w:tabs>
          <w:tab w:leader="none" w:pos="10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annual reporting of certain information regarding drug samples that manufacturers and distributors provide to licensed practitioners.</w:t>
      </w:r>
    </w:p>
    <w:p>
      <w:pPr>
        <w:spacing w:after="0" w:line="18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The framework of the PPACA continues to evolve as a result of executive, legislative, regulatory, and administrative developments that have challenged the law and contribute to legal uncertainty that could affect the profitability of our</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680"/>
          </w:cols>
          <w:pgMar w:left="1080" w:top="1067" w:right="1120" w:bottom="542" w:gutter="0" w:footer="0" w:header="0"/>
          <w:type w:val="continuous"/>
        </w:sectPr>
      </w:pPr>
    </w:p>
    <w:bookmarkStart w:id="43" w:name="page44"/>
    <w:bookmarkEnd w:id="43"/>
    <w:p>
      <w:pPr>
        <w:ind w:right="80"/>
        <w:spacing w:after="0" w:line="246" w:lineRule="auto"/>
        <w:rPr>
          <w:sz w:val="20"/>
          <w:szCs w:val="20"/>
          <w:color w:val="auto"/>
        </w:rPr>
      </w:pPr>
      <w:r>
        <w:rPr>
          <w:rFonts w:ascii="Times New Roman" w:cs="Times New Roman" w:eastAsia="Times New Roman" w:hAnsi="Times New Roman"/>
          <w:sz w:val="20"/>
          <w:szCs w:val="20"/>
          <w:color w:val="auto"/>
        </w:rPr>
        <w:t>products. While Congress has not enacted legislation to comprehensively repeal the PPACA, legislation affecting the PPACA has been signed into law, including the elimination,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eliminated effective</w:t>
      </w:r>
    </w:p>
    <w:p>
      <w:pPr>
        <w:ind w:right="120"/>
        <w:spacing w:after="0" w:line="241" w:lineRule="auto"/>
        <w:rPr>
          <w:sz w:val="20"/>
          <w:szCs w:val="20"/>
          <w:color w:val="auto"/>
        </w:rPr>
      </w:pPr>
      <w:r>
        <w:rPr>
          <w:rFonts w:ascii="Times New Roman" w:cs="Times New Roman" w:eastAsia="Times New Roman" w:hAnsi="Times New Roman"/>
          <w:sz w:val="20"/>
          <w:szCs w:val="20"/>
          <w:color w:val="auto"/>
        </w:rPr>
        <w:t>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On June 17, 2021, the U.S. Supreme Court dismissed this challenge without specifically ruling on the constitutionality of the PPACA.</w:t>
      </w:r>
    </w:p>
    <w:p>
      <w:pPr>
        <w:spacing w:after="0" w:line="2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Effective January 1, 2019, the Bipartisan Budget Act of 2018, among other things, further amended portions of the Social Security Act implemented as part of the PPACA to increase from 50% to 70% the point-of-sale discount that pharmaceutical manufacturers participating in the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In addition, the Further Consolidated Appropriations Act of 2020, signed into law December 20, 2019, fully repealed the PPACA’s “Cadillac Tax” on certain high-cost employer-sponsored insurance plans (for tax years beginning after December 31, 2019), the annual fee imposed on certain health insurance providers based on market share (for calendar year 2021), and the medical device excise tax on non-exempt medical devices (for sales after December 31, 2019).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20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 The IRA permits the Secretary of the Department of Health and Human Services (HHS) to implement many of these provisions through guidance, as opposed to regulation, for the initial years. For that and other reasons, it is currently unclear how the IRA will be effectuated, and the impact of the IRA on the pharmaceutical industry cannot yet be fully determined. On December 14, 2023, President Biden announced that, through the IRA, dozens of pharmaceutical companies are required to pay rebates to Medicare for price hikes on prescription drugs.</w:t>
      </w:r>
    </w:p>
    <w:p>
      <w:pPr>
        <w:spacing w:after="0" w:line="20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PPACA was enacted. For example, the Budget Control Act of 2011, among other things, resulted in reductions in payments to Medicare providers of 2% per fiscal year, which went into effect on April 1, 2013 and, due to subsequent legislation, will remain in effect through 2031, with the exception of a temporary suspension of the payment reduction from May 1, 2020 through March 31, 2022 due to the coronavirus pandemic. Sequestration will start again on April 1, 2022. From April 1, 2022 to June 30, 2022, payment for Medicare fee-for-service claims will be adjusted downwards by 1%; beginning on July 1, 2022, the payment will be adjusted downwards by 2%. In addition,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0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Recently, the cost of prescription pharmaceuticals has been the subject of considerable discussion in the United States. Congress considered and passed legislation, and the former Trump administration pursued several regulatory reforms to further increase transparency around prices and price increases, lower out-of-pocket costs for consumers, and decrease spending on prescription drugs by government programs. Congress also continued to conduct inquiries into the prescription drug industry’s pricing practices. While several proposed reform measures will require Congress to pass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720"/>
          </w:cols>
          <w:pgMar w:left="1080" w:top="1066" w:right="1080" w:bottom="542" w:gutter="0" w:footer="0" w:header="0"/>
          <w:type w:val="continuous"/>
        </w:sectPr>
      </w:pPr>
    </w:p>
    <w:bookmarkStart w:id="44" w:name="page45"/>
    <w:bookmarkEnd w:id="44"/>
    <w:p>
      <w:pPr>
        <w:jc w:val="both"/>
        <w:ind w:right="180"/>
        <w:spacing w:after="0" w:line="249" w:lineRule="auto"/>
        <w:rPr>
          <w:sz w:val="20"/>
          <w:szCs w:val="20"/>
          <w:color w:val="auto"/>
        </w:rPr>
      </w:pPr>
      <w:r>
        <w:rPr>
          <w:rFonts w:ascii="Times New Roman" w:cs="Times New Roman" w:eastAsia="Times New Roman" w:hAnsi="Times New Roman"/>
          <w:sz w:val="20"/>
          <w:szCs w:val="20"/>
          <w:color w:val="auto"/>
        </w:rPr>
        <w:t>legislation to become effective, Congress and the Biden administration have each indicated that it will continue to seek new legislative and/or administrative measures to address prescription drug costs. The Biden administration has taken several recent executive actions that signal changes in policy from the prior administration. For example, on</w:t>
      </w:r>
    </w:p>
    <w:p>
      <w:pPr>
        <w:spacing w:after="0" w:line="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July 9, 2021, President Biden signed an executive order to promote competition in the US economy that included several initiatives addressing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In response to the Executive Order, on September 9, 2021, HHS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Additionally, on February 2, 2022, the Biden Administration signaled its continued commitment to the Cancer Moonshot initiative, which was initially launched in 2016. In its recent announcement, the administration noted that its new goals under the initiative include addressing inequities in order to ensure broader access to cutting-edge cancer therapeutics and investing in a robust pipeline for new treatments. 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2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expect that these and other healthcare reform measures that may be adopted in the future may result in more rigorous coverage criteria and/or new payment methodologies, and place additional downward pressure on the price that we receive for any approved product and/or the level of reimbursement physicians and other healthcare providers receive for administering any approved product we might bring to market. Reductions in reimbursement levels and imposition of more rigorous coverage criteria or new payment methodologies may negatively impact the prices we receive or the frequency with which our products are prescribed or administered. Any coverage or reimbursement policies instituted by Medicare or other federal health care programs may result in similar policies from private payors. The implementation of cost containment measures or other healthcare reforms may affect our ability to generate revenue, attain or maintain profitability, or commercialize our drug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 and Employees</w:t>
      </w:r>
    </w:p>
    <w:p>
      <w:pPr>
        <w:spacing w:after="0" w:line="2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As of December 31, 2025, we had 8 full-time employees, of which 5 employees are directly engaged in research and development with the rest providing administrative, business and operations support. We also utilize outside consultants and independent contractors to supplement our full-time workforce. None of our employees are represented by a labor union or covered by collective bargaining agreements. We consider the relationship with our employees to be good.</w:t>
      </w:r>
    </w:p>
    <w:p>
      <w:pPr>
        <w:spacing w:after="0" w:line="17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human capital resource objectives include, identifying, recruiting, retaining, incentivizing, and integrating our existing and new employees. The principal purpose of our equity incentive plan is to attract, retain and motivate employees and directors through the granting of stock-based compensation awards.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700"/>
          </w:cols>
          <w:pgMar w:left="1080" w:top="1066" w:right="1100" w:bottom="542"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about Our Executive Officers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about our executive officers as of December 31, 2025.</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80" w:type="dxa"/>
            <w:vAlign w:val="bottom"/>
            <w:tcBorders>
              <w:left w:val="single" w:sz="8" w:color="auto"/>
              <w:bottom w:val="single" w:sz="8" w:color="auto"/>
            </w:tcBorders>
            <w:shd w:val="clear" w:color="auto" w:fill="505050"/>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FFFFFF"/>
              </w:rPr>
              <w:t>Name</w:t>
            </w:r>
          </w:p>
        </w:tc>
        <w:tc>
          <w:tcPr>
            <w:tcW w:w="1240" w:type="dxa"/>
            <w:vAlign w:val="bottom"/>
            <w:tcBorders>
              <w:bottom w:val="single" w:sz="8" w:color="auto"/>
            </w:tcBorders>
            <w:shd w:val="clear" w:color="auto" w:fill="505050"/>
          </w:tcPr>
          <w:p>
            <w:pPr>
              <w:jc w:val="right"/>
              <w:ind w:right="440"/>
              <w:spacing w:after="0"/>
              <w:rPr>
                <w:sz w:val="20"/>
                <w:szCs w:val="20"/>
                <w:color w:val="auto"/>
              </w:rPr>
            </w:pPr>
            <w:r>
              <w:rPr>
                <w:rFonts w:ascii="Times New Roman" w:cs="Times New Roman" w:eastAsia="Times New Roman" w:hAnsi="Times New Roman"/>
                <w:sz w:val="20"/>
                <w:szCs w:val="20"/>
                <w:b w:val="1"/>
                <w:bCs w:val="1"/>
                <w:i w:val="1"/>
                <w:iCs w:val="1"/>
                <w:color w:val="FFFFFF"/>
              </w:rPr>
              <w:t>Age</w:t>
            </w:r>
          </w:p>
        </w:tc>
        <w:tc>
          <w:tcPr>
            <w:tcW w:w="5200" w:type="dxa"/>
            <w:vAlign w:val="bottom"/>
            <w:tcBorders>
              <w:bottom w:val="single" w:sz="8" w:color="auto"/>
            </w:tcBorders>
            <w:shd w:val="clear" w:color="auto" w:fill="505050"/>
          </w:tcPr>
          <w:p>
            <w:pPr>
              <w:ind w:left="2320"/>
              <w:spacing w:after="0"/>
              <w:rPr>
                <w:sz w:val="20"/>
                <w:szCs w:val="20"/>
                <w:color w:val="auto"/>
              </w:rPr>
            </w:pPr>
            <w:r>
              <w:rPr>
                <w:rFonts w:ascii="Times New Roman" w:cs="Times New Roman" w:eastAsia="Times New Roman" w:hAnsi="Times New Roman"/>
                <w:sz w:val="20"/>
                <w:szCs w:val="20"/>
                <w:b w:val="1"/>
                <w:bCs w:val="1"/>
                <w:i w:val="1"/>
                <w:iCs w:val="1"/>
                <w:color w:val="FFFFFF"/>
              </w:rPr>
              <w:t>Position</w:t>
            </w:r>
          </w:p>
        </w:tc>
      </w:tr>
      <w:tr>
        <w:trPr>
          <w:trHeight w:val="220"/>
        </w:trPr>
        <w:tc>
          <w:tcPr>
            <w:tcW w:w="3280" w:type="dxa"/>
            <w:vAlign w:val="bottom"/>
            <w:tcBorders>
              <w:left w:val="single" w:sz="8" w:color="auto"/>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20"/>
                <w:szCs w:val="20"/>
                <w:color w:val="auto"/>
              </w:rPr>
              <w:t>Oren Gilad, Ph.D. . . . . . . . . . . . . . .</w:t>
            </w:r>
          </w:p>
        </w:tc>
        <w:tc>
          <w:tcPr>
            <w:tcW w:w="1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57</w:t>
            </w:r>
          </w:p>
        </w:tc>
        <w:tc>
          <w:tcPr>
            <w:tcW w:w="5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21"/>
        </w:trPr>
        <w:tc>
          <w:tcPr>
            <w:tcW w:w="3280" w:type="dxa"/>
            <w:vAlign w:val="bottom"/>
            <w:tcBorders>
              <w:left w:val="single" w:sz="8" w:color="auto"/>
              <w:bottom w:val="single" w:sz="8" w:color="auto"/>
            </w:tcBorders>
          </w:tcPr>
          <w:p>
            <w:pPr>
              <w:ind w:left="140"/>
              <w:spacing w:after="0" w:line="221" w:lineRule="exact"/>
              <w:rPr>
                <w:sz w:val="20"/>
                <w:szCs w:val="20"/>
                <w:color w:val="auto"/>
              </w:rPr>
            </w:pPr>
            <w:r>
              <w:rPr>
                <w:rFonts w:ascii="Times New Roman" w:cs="Times New Roman" w:eastAsia="Times New Roman" w:hAnsi="Times New Roman"/>
                <w:sz w:val="20"/>
                <w:szCs w:val="20"/>
                <w:color w:val="auto"/>
              </w:rPr>
              <w:t>John P. Hamill . . . . . . . . . . . . . . . . .</w:t>
            </w:r>
          </w:p>
        </w:tc>
        <w:tc>
          <w:tcPr>
            <w:tcW w:w="1240" w:type="dxa"/>
            <w:vAlign w:val="bottom"/>
            <w:tcBorders>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61</w:t>
            </w:r>
          </w:p>
        </w:tc>
        <w:tc>
          <w:tcPr>
            <w:tcW w:w="5200" w:type="dxa"/>
            <w:vAlign w:val="bottom"/>
            <w:tcBorders>
              <w:bottom w:val="single" w:sz="8" w:color="auto"/>
            </w:tcBorders>
          </w:tcPr>
          <w:p>
            <w:pPr>
              <w:ind w:left="140"/>
              <w:spacing w:after="0" w:line="221" w:lineRule="exact"/>
              <w:rPr>
                <w:sz w:val="20"/>
                <w:szCs w:val="20"/>
                <w:color w:val="auto"/>
              </w:rPr>
            </w:pPr>
            <w:r>
              <w:rPr>
                <w:rFonts w:ascii="Times New Roman" w:cs="Times New Roman" w:eastAsia="Times New Roman" w:hAnsi="Times New Roman"/>
                <w:sz w:val="20"/>
                <w:szCs w:val="20"/>
                <w:color w:val="auto"/>
              </w:rPr>
              <w:t>Senior Vice President, Chief Financial Officer and Secretary</w:t>
            </w:r>
          </w:p>
        </w:tc>
      </w:tr>
    </w:tbl>
    <w:p>
      <w:pPr>
        <w:spacing w:after="0" w:line="21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Oren Gilad, Ph.D. </w:t>
      </w:r>
      <w:r>
        <w:rPr>
          <w:rFonts w:ascii="Times New Roman" w:cs="Times New Roman" w:eastAsia="Times New Roman" w:hAnsi="Times New Roman"/>
          <w:sz w:val="20"/>
          <w:szCs w:val="20"/>
          <w:color w:val="auto"/>
        </w:rPr>
        <w:t>has served as Chief Executive Officer of Aprea Therapeutics since July 2022 and as President and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member of its Board of Directors since May 2022. He previously served as President and CEO of Atrin Pharmaceuticals, Inc., leading its transaction with Aprea Therapeutics. Dr. Gilad brings extensive experience across multiple phases of drug development. During his time at Atrin, he led development from idea through early stage into the clinical stage while securing financing to support pre-clinical and clinical development, regulatory, and intellectual property activities. Before founding Atrin in 2011, Dr. Gilad authored several high-impact scientific publications over a 13-year academic career, including one demonstrating the importance of the ATR pathway in cancer development and treatment. Dr. Gilad earned his doctorate from the University of California at Davis and his B.S. from the Hebrew University, Jerusalem, Israel.</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John P. Hamill </w:t>
      </w:r>
      <w:r>
        <w:rPr>
          <w:rFonts w:ascii="Times New Roman" w:cs="Times New Roman" w:eastAsia="Times New Roman" w:hAnsi="Times New Roman"/>
          <w:sz w:val="20"/>
          <w:szCs w:val="20"/>
          <w:color w:val="auto"/>
        </w:rPr>
        <w:t>joined Aprea in January 2023 from Windtree Therapeutics where he served as Senior Vice President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Chief Financial Officer since 2020. He brings more than 30 years of financial leadership experience in the pharmaceutical, biopharmaceutical, and clinical research sectors. He has broad-based experience in financial, administrative, information technology, and facility functions, in addition to having successfully completed IPO and follow-on offerings for several pharmaceutical companies. John has also recently provided consulting services to various life science companies, headed up finance at Trevena, Inc., where he was instrumental in successfully raising equity; NephroGenex, Inc., where he actively led the IPO and subsequent financial restructuring and sale of the company; Savient Pharmaceuticals, where he led a sale process resulting in $120 million in proceeds; and PharmaNet where he successfully completed its sale for approximately $250 million, which then became known as PharmaNet Development Group, where he directed financial and administrative operations for the company. John received a B.S. in Accounting and Business and Computer Science from DeSales University and is a certified public accountant.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Regulations</w:t>
      </w:r>
    </w:p>
    <w:p>
      <w:pPr>
        <w:spacing w:after="0" w:line="24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We believe we are compliant in all material respects with applicable environmental laws. Presently, we do not anticipate such compliance will have a material effect on capital expenditures, earnings, or our competitive position with respect to any of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3"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color w:val="auto"/>
        </w:rPr>
        <w:t>We were incorporated in Delaware in May 2019. Our corporate headquarters are located at 3805 Old Easton Road, Doylestown, Pennsylvania 18902, and our telephone number is (215) 948-4119.</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720"/>
          </w:cols>
          <w:pgMar w:left="1080" w:top="1067" w:right="1080" w:bottom="542"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Our corporate website address is www.aprea.com. Information contained on or accessible through our website are not part of this Annual Report on Form 10-K, and inclusion of our website address in this annual report is an inactive textual reference only. We make our Annual Report on Form 10-K, quarterly reports on Form 10-Q, current reports on Form</w:t>
      </w:r>
    </w:p>
    <w:p>
      <w:pPr>
        <w:spacing w:after="0" w:line="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8- K and all amendments to those reports available free of charge on our website as soon as reasonably practicable after we file such reports with, or furnish such reports to, the Securities and Exchange Commission, or SEC.</w:t>
      </w:r>
    </w:p>
    <w:p>
      <w:pPr>
        <w:spacing w:after="0" w:line="1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are a “smaller reporting company,” as such term is defined in Rule 12b-2 of the Exchange Act, meaning that the market value of our common stock held by non-affiliates is less than $700 million and our annual revenue is less than $100 million during the most recently completed fiscal year. We may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 -affiliates is less than $700 million. As a smaller reporting company, we may continue to rely on exemptions from certain disclosure requirements that are available to smaller reporting companies. Specifically, smaller reporting companies have reduced disclosure obligations regarding executive compensation.</w:t>
      </w:r>
    </w:p>
    <w:p>
      <w:pPr>
        <w:sectPr>
          <w:pgSz w:w="11880" w:h="15480" w:orient="portrait"/>
          <w:cols w:equalWidth="0" w:num="1">
            <w:col w:w="9700"/>
          </w:cols>
          <w:pgMar w:left="1080" w:top="1063"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700"/>
          </w:cols>
          <w:pgMar w:left="1080" w:top="1063" w:right="1100" w:bottom="542"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i w:val="1"/>
          <w:iCs w:val="1"/>
          <w:color w:val="auto"/>
        </w:rPr>
        <w:t>Our business is subject to substantial risks and uncertainties. Investing in our common stock involves a high degree of risk. You should carefully consider the risk factors below together with the information contained elsewhere in this Annual Report on Form 10-K, including Part II, Item 8 “Financial Statements and Supplementary Data” and Part II, Item 7, “Management’s Discussion and Analysis of Financial Condition and Results of Operations,” and in our other public filings in evaluating our business. Any of the risks and uncertainties described below and in our other filings with the SEC, either alone or taken together, could materially and adversely affect our business, financial condition, results of operations, prospects for growth, and the value of an investment in our common stock. In addition, these risks and uncertainties could cause actual results to differ materially from those expressed or implied by forward looking statements contained in this Form 10-K (please read the Cautionary Note Regarding Forward-Looking Statements in this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An investment in our securities is subject to various risks, these risks include, among others, the brief bulleted list of our principal risk factors set forth below that make an investment in our company speculative or risky.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the need for additional capital</w:t>
      </w:r>
    </w:p>
    <w:p>
      <w:pPr>
        <w:spacing w:after="0" w:line="138" w:lineRule="exact"/>
        <w:rPr>
          <w:sz w:val="20"/>
          <w:szCs w:val="20"/>
          <w:color w:val="auto"/>
        </w:rPr>
      </w:pPr>
    </w:p>
    <w:p>
      <w:pPr>
        <w:ind w:left="720" w:right="180" w:hanging="353"/>
        <w:spacing w:after="0" w:line="262"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incurred significant losses in each year since inception. We expect to incur losses for the foreseeable future and may never achieve or maintain profitability.</w:t>
      </w:r>
    </w:p>
    <w:p>
      <w:pPr>
        <w:spacing w:after="0" w:line="75" w:lineRule="exact"/>
        <w:rPr>
          <w:rFonts w:ascii="Symbol" w:cs="Symbol" w:eastAsia="Symbol" w:hAnsi="Symbol"/>
          <w:sz w:val="20"/>
          <w:szCs w:val="20"/>
          <w:color w:val="auto"/>
        </w:rPr>
      </w:pPr>
    </w:p>
    <w:p>
      <w:pPr>
        <w:ind w:left="720" w:right="140" w:hanging="353"/>
        <w:spacing w:after="0" w:line="251"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fail to maintain compliance with the minimum listing requirements, our common stock will be subject to delisting and our ability to publicly or privately sell equity securities and the liquidity of our common stock could be adversely affected if our common stock is delisted.</w:t>
      </w:r>
    </w:p>
    <w:p>
      <w:pPr>
        <w:spacing w:after="0" w:line="87" w:lineRule="exact"/>
        <w:rPr>
          <w:rFonts w:ascii="Symbol" w:cs="Symbol" w:eastAsia="Symbol" w:hAnsi="Symbol"/>
          <w:sz w:val="20"/>
          <w:szCs w:val="20"/>
          <w:color w:val="auto"/>
        </w:rPr>
      </w:pPr>
    </w:p>
    <w:p>
      <w:pPr>
        <w:ind w:left="720" w:hanging="353"/>
        <w:spacing w:after="0" w:line="262"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Our limited operating history may make it difficult for you to evaluate the success of our business to date and to assess our future viability. We have never generated commercial revenues and may never be profitable.</w:t>
      </w:r>
    </w:p>
    <w:p>
      <w:pPr>
        <w:spacing w:after="0" w:line="75" w:lineRule="exact"/>
        <w:rPr>
          <w:rFonts w:ascii="Symbol" w:cs="Symbol" w:eastAsia="Symbol" w:hAnsi="Symbol"/>
          <w:sz w:val="20"/>
          <w:szCs w:val="20"/>
          <w:color w:val="auto"/>
        </w:rPr>
      </w:pPr>
    </w:p>
    <w:p>
      <w:pPr>
        <w:ind w:left="720" w:right="220" w:hanging="353"/>
        <w:spacing w:after="0" w:line="251"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We will need substantial additional funding, which may not be available to us on acceptable terms or at all. If we are unable to raise capital when needed, we may be forced to delay, reduce and/or eliminate our research and drug development programs or future commercialization efforts.</w:t>
      </w:r>
    </w:p>
    <w:p>
      <w:pPr>
        <w:spacing w:after="0" w:line="87" w:lineRule="exact"/>
        <w:rPr>
          <w:rFonts w:ascii="Symbol" w:cs="Symbol" w:eastAsia="Symbol" w:hAnsi="Symbol"/>
          <w:sz w:val="20"/>
          <w:szCs w:val="20"/>
          <w:color w:val="auto"/>
        </w:rPr>
      </w:pPr>
    </w:p>
    <w:p>
      <w:pPr>
        <w:ind w:left="720" w:right="140" w:hanging="353"/>
        <w:spacing w:after="0" w:line="251"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87" w:lineRule="exact"/>
        <w:rPr>
          <w:rFonts w:ascii="Symbol" w:cs="Symbol" w:eastAsia="Symbol" w:hAnsi="Symbol"/>
          <w:sz w:val="20"/>
          <w:szCs w:val="20"/>
          <w:color w:val="auto"/>
        </w:rPr>
      </w:pPr>
    </w:p>
    <w:p>
      <w:pPr>
        <w:ind w:left="720" w:right="480" w:hanging="353"/>
        <w:spacing w:after="0" w:line="262"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identified conditions and events that raise substantial doubt regarding our ability to continue as a going concern.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our product candidates</w:t>
      </w:r>
    </w:p>
    <w:p>
      <w:pPr>
        <w:spacing w:after="0" w:line="139" w:lineRule="exact"/>
        <w:rPr>
          <w:sz w:val="20"/>
          <w:szCs w:val="20"/>
          <w:color w:val="auto"/>
        </w:rPr>
      </w:pPr>
    </w:p>
    <w:p>
      <w:pPr>
        <w:ind w:left="720" w:right="40" w:hanging="353"/>
        <w:spacing w:after="0" w:line="250" w:lineRule="auto"/>
        <w:tabs>
          <w:tab w:leader="none" w:pos="72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substantially dependent on the success of APR-1051 and ATRN-119. Our clinical trials of APR-1051 and ATRN-119 may not be successful. If we are unable to obtain approval for and commercialize APR-1051 or ATRN-119 or experience significant delays in doing so, our business will be materially harmed.</w:t>
      </w:r>
    </w:p>
    <w:p>
      <w:pPr>
        <w:spacing w:after="0" w:line="90" w:lineRule="exact"/>
        <w:rPr>
          <w:rFonts w:ascii="Symbol" w:cs="Symbol" w:eastAsia="Symbol" w:hAnsi="Symbol"/>
          <w:sz w:val="20"/>
          <w:szCs w:val="20"/>
          <w:color w:val="auto"/>
        </w:rPr>
      </w:pPr>
    </w:p>
    <w:p>
      <w:pPr>
        <w:ind w:left="720" w:right="260" w:hanging="353"/>
        <w:spacing w:after="0" w:line="270" w:lineRule="auto"/>
        <w:tabs>
          <w:tab w:leader="none" w:pos="720" w:val="left"/>
        </w:tabs>
        <w:numPr>
          <w:ilvl w:val="0"/>
          <w:numId w:val="21"/>
        </w:numPr>
        <w:rPr>
          <w:rFonts w:ascii="Symbol" w:cs="Symbol" w:eastAsia="Symbol" w:hAnsi="Symbol"/>
          <w:sz w:val="19"/>
          <w:szCs w:val="19"/>
          <w:color w:val="auto"/>
        </w:rPr>
      </w:pPr>
      <w:r>
        <w:rPr>
          <w:rFonts w:ascii="Times New Roman" w:cs="Times New Roman" w:eastAsia="Times New Roman" w:hAnsi="Times New Roman"/>
          <w:sz w:val="19"/>
          <w:szCs w:val="19"/>
          <w:color w:val="auto"/>
        </w:rPr>
        <w:t>We are in the early stages of testing APR-1051 and ATRN-119. The results of preclinical studies and early-stage clinical trials may not be predictive of future results in later studies or trials. Initial success in clinical trials may not be indicative of results obtained when these trials are completed or in later-stage clinical trials.</w:t>
      </w:r>
    </w:p>
    <w:p>
      <w:pPr>
        <w:spacing w:after="0" w:line="70" w:lineRule="exact"/>
        <w:rPr>
          <w:rFonts w:ascii="Symbol" w:cs="Symbol" w:eastAsia="Symbol" w:hAnsi="Symbol"/>
          <w:sz w:val="19"/>
          <w:szCs w:val="19"/>
          <w:color w:val="auto"/>
        </w:rPr>
      </w:pPr>
    </w:p>
    <w:p>
      <w:pPr>
        <w:ind w:left="720" w:right="20" w:hanging="353"/>
        <w:spacing w:after="0" w:line="262" w:lineRule="auto"/>
        <w:tabs>
          <w:tab w:leader="none" w:pos="72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not be able to file INDs or IND amendments to commence additional clinical trials on the timelines we expect, and even if we are able to, the FDA may not permit us to proceed.</w:t>
      </w:r>
    </w:p>
    <w:p>
      <w:pPr>
        <w:spacing w:after="0" w:line="75" w:lineRule="exact"/>
        <w:rPr>
          <w:rFonts w:ascii="Symbol" w:cs="Symbol" w:eastAsia="Symbol" w:hAnsi="Symbol"/>
          <w:sz w:val="20"/>
          <w:szCs w:val="20"/>
          <w:color w:val="auto"/>
        </w:rPr>
      </w:pPr>
    </w:p>
    <w:p>
      <w:pPr>
        <w:ind w:left="720" w:right="380" w:hanging="353"/>
        <w:spacing w:after="0" w:line="262" w:lineRule="auto"/>
        <w:tabs>
          <w:tab w:leader="none" w:pos="72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limited experience as a company conducting clinical trials and may be unable to complete clinical trials for any product candidates we may develop.</w:t>
      </w:r>
    </w:p>
    <w:p>
      <w:pPr>
        <w:sectPr>
          <w:pgSz w:w="11880" w:h="15480" w:orient="portrait"/>
          <w:cols w:equalWidth="0" w:num="1">
            <w:col w:w="9700"/>
          </w:cols>
          <w:pgMar w:left="1080" w:top="1062"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700"/>
          </w:cols>
          <w:pgMar w:left="1080" w:top="1062" w:right="1100" w:bottom="542" w:gutter="0" w:footer="0" w:header="0"/>
          <w:type w:val="continuous"/>
        </w:sectPr>
      </w:pPr>
    </w:p>
    <w:bookmarkStart w:id="48" w:name="page49"/>
    <w:bookmarkEnd w:id="48"/>
    <w:p>
      <w:pPr>
        <w:ind w:left="720" w:right="440" w:hanging="353"/>
        <w:spacing w:after="0" w:line="251"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find it difficult to enroll patients in our clinical trials. If we experience delays or difficulties in the enrollment of patients in clinical trials, our receipt of necessary marketing approvals could be delayed or prevented.</w:t>
      </w:r>
    </w:p>
    <w:p>
      <w:pPr>
        <w:spacing w:after="0" w:line="87" w:lineRule="exact"/>
        <w:rPr>
          <w:rFonts w:ascii="Symbol" w:cs="Symbol" w:eastAsia="Symbol" w:hAnsi="Symbol"/>
          <w:sz w:val="20"/>
          <w:szCs w:val="20"/>
          <w:color w:val="auto"/>
        </w:rPr>
      </w:pPr>
    </w:p>
    <w:p>
      <w:pPr>
        <w:jc w:val="both"/>
        <w:ind w:left="720" w:right="120" w:hanging="353"/>
        <w:spacing w:after="0" w:line="251"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If serious adverse or unacceptable side effects are identified during the development of our product candidates or we observe limited efficacy of our product candidates, we may need to abandon or limit the development of one or more of our product candidates.</w:t>
      </w:r>
    </w:p>
    <w:p>
      <w:pPr>
        <w:spacing w:after="0" w:line="87" w:lineRule="exact"/>
        <w:rPr>
          <w:rFonts w:ascii="Symbol" w:cs="Symbol" w:eastAsia="Symbol" w:hAnsi="Symbol"/>
          <w:sz w:val="20"/>
          <w:szCs w:val="20"/>
          <w:color w:val="auto"/>
        </w:rPr>
      </w:pPr>
    </w:p>
    <w:p>
      <w:pPr>
        <w:ind w:left="720" w:hanging="353"/>
        <w:spacing w:after="0" w:line="251"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The outcome of preclinical testing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spacing w:after="0" w:line="87" w:lineRule="exact"/>
        <w:rPr>
          <w:rFonts w:ascii="Symbol" w:cs="Symbol" w:eastAsia="Symbol" w:hAnsi="Symbol"/>
          <w:sz w:val="20"/>
          <w:szCs w:val="20"/>
          <w:color w:val="auto"/>
        </w:rPr>
      </w:pPr>
    </w:p>
    <w:p>
      <w:pPr>
        <w:ind w:left="720" w:right="560" w:hanging="353"/>
        <w:spacing w:after="0" w:line="251"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87" w:lineRule="exact"/>
        <w:rPr>
          <w:rFonts w:ascii="Symbol" w:cs="Symbol" w:eastAsia="Symbol" w:hAnsi="Symbol"/>
          <w:sz w:val="20"/>
          <w:szCs w:val="20"/>
          <w:color w:val="auto"/>
        </w:rPr>
      </w:pPr>
    </w:p>
    <w:p>
      <w:pPr>
        <w:ind w:left="720" w:right="180" w:hanging="353"/>
        <w:spacing w:after="0" w:line="251"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If, in the future, we are unable to establish sales and marketing capabilities or enter into agreements with third parties to sell and market our product candidates, we may not be successful in commercializing our product candidates if and when they are approved.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139" w:lineRule="exact"/>
        <w:rPr>
          <w:sz w:val="20"/>
          <w:szCs w:val="20"/>
          <w:color w:val="auto"/>
        </w:rPr>
      </w:pPr>
    </w:p>
    <w:p>
      <w:pPr>
        <w:ind w:left="720" w:right="200" w:hanging="353"/>
        <w:spacing w:after="0" w:line="247"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We rely on third parties to conduct our clinical trials and some aspects of our research and preclinical studies, and those third parties may not perform satisfactorily, including failing to conduct their operations in compliance with regulatory requirements or to meet deadlines for the completion of such trials, research and studies.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38" w:lineRule="exact"/>
        <w:rPr>
          <w:sz w:val="20"/>
          <w:szCs w:val="20"/>
          <w:color w:val="auto"/>
        </w:rPr>
      </w:pPr>
    </w:p>
    <w:p>
      <w:pPr>
        <w:ind w:left="720" w:hanging="353"/>
        <w:spacing w:after="0" w:line="247"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unable to obtain and maintain intellectual property protection for our product candidates or for our technology, our competitors could develop and commercialize products or technology similar or identical to ours, and our ability to successfully commercialize any product candidates we may develop, and our technology may be adversely affected.</w:t>
      </w:r>
    </w:p>
    <w:p>
      <w:pPr>
        <w:spacing w:after="0" w:line="91" w:lineRule="exact"/>
        <w:rPr>
          <w:rFonts w:ascii="Symbol" w:cs="Symbol" w:eastAsia="Symbol" w:hAnsi="Symbol"/>
          <w:sz w:val="20"/>
          <w:szCs w:val="20"/>
          <w:color w:val="auto"/>
        </w:rPr>
      </w:pPr>
    </w:p>
    <w:p>
      <w:pPr>
        <w:ind w:left="720" w:right="260" w:hanging="353"/>
        <w:spacing w:after="0" w:line="262"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Issued patents covering our product candidates and other technologies could be narrowed or found invalid or unenforceable if challenged in court or before administrative bodies in the United States or abroad.</w:t>
      </w:r>
    </w:p>
    <w:p>
      <w:pPr>
        <w:spacing w:after="0" w:line="76" w:lineRule="exact"/>
        <w:rPr>
          <w:rFonts w:ascii="Symbol" w:cs="Symbol" w:eastAsia="Symbol" w:hAnsi="Symbol"/>
          <w:sz w:val="20"/>
          <w:szCs w:val="20"/>
          <w:color w:val="auto"/>
        </w:rPr>
      </w:pPr>
    </w:p>
    <w:p>
      <w:pPr>
        <w:ind w:left="720" w:hanging="353"/>
        <w:spacing w:after="0"/>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subject to other claims challenging the inventorship of our patents and other intellectual property.</w:t>
      </w:r>
    </w:p>
    <w:p>
      <w:pPr>
        <w:spacing w:after="0" w:line="101" w:lineRule="exact"/>
        <w:rPr>
          <w:rFonts w:ascii="Symbol" w:cs="Symbol" w:eastAsia="Symbol" w:hAnsi="Symbol"/>
          <w:sz w:val="20"/>
          <w:szCs w:val="20"/>
          <w:color w:val="auto"/>
        </w:rPr>
      </w:pPr>
    </w:p>
    <w:p>
      <w:pPr>
        <w:spacing w:after="0"/>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Risks related to regulatory and marketing approval and other legal compliance matters</w:t>
      </w:r>
    </w:p>
    <w:p>
      <w:pPr>
        <w:spacing w:after="0" w:line="137" w:lineRule="exact"/>
        <w:rPr>
          <w:rFonts w:ascii="Symbol" w:cs="Symbol" w:eastAsia="Symbol" w:hAnsi="Symbol"/>
          <w:sz w:val="20"/>
          <w:szCs w:val="20"/>
          <w:color w:val="auto"/>
        </w:rPr>
      </w:pPr>
    </w:p>
    <w:p>
      <w:pPr>
        <w:ind w:left="720" w:right="40" w:hanging="353"/>
        <w:spacing w:after="0" w:line="262"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never obtained marketing approval for a product candidate and we may be unable to obtain, or may be delayed in obtaining, marketing approval for any of our product candidates.</w:t>
      </w:r>
    </w:p>
    <w:p>
      <w:pPr>
        <w:spacing w:after="0" w:line="75" w:lineRule="exact"/>
        <w:rPr>
          <w:rFonts w:ascii="Symbol" w:cs="Symbol" w:eastAsia="Symbol" w:hAnsi="Symbol"/>
          <w:sz w:val="20"/>
          <w:szCs w:val="20"/>
          <w:color w:val="auto"/>
        </w:rPr>
      </w:pPr>
    </w:p>
    <w:p>
      <w:pPr>
        <w:ind w:left="720" w:right="360" w:hanging="353"/>
        <w:spacing w:after="0" w:line="245"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Even if we complete the necessary preclinical studies and clinical trials, the marketing approval process is expensive, time-consuming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94" w:lineRule="exact"/>
        <w:rPr>
          <w:rFonts w:ascii="Symbol" w:cs="Symbol" w:eastAsia="Symbol" w:hAnsi="Symbol"/>
          <w:sz w:val="20"/>
          <w:szCs w:val="20"/>
          <w:color w:val="auto"/>
        </w:rPr>
      </w:pPr>
    </w:p>
    <w:p>
      <w:pPr>
        <w:ind w:left="720" w:right="20" w:hanging="353"/>
        <w:spacing w:after="0" w:line="251"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87" w:lineRule="exact"/>
        <w:rPr>
          <w:rFonts w:ascii="Symbol" w:cs="Symbol" w:eastAsia="Symbol" w:hAnsi="Symbol"/>
          <w:sz w:val="20"/>
          <w:szCs w:val="20"/>
          <w:color w:val="auto"/>
        </w:rPr>
      </w:pPr>
    </w:p>
    <w:p>
      <w:pPr>
        <w:ind w:left="720" w:right="360" w:hanging="353"/>
        <w:spacing w:after="0" w:line="251"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FDA’s and other comparable regulatory authorities’ policies may change and additional government regulations may be enacted that could prevent, limit or delay regulatory approval of our product candidates, which would impact our ability to generate commercial revenue.</w:t>
      </w:r>
    </w:p>
    <w:p>
      <w:pPr>
        <w:spacing w:after="0" w:line="87" w:lineRule="exact"/>
        <w:rPr>
          <w:rFonts w:ascii="Symbol" w:cs="Symbol" w:eastAsia="Symbol" w:hAnsi="Symbol"/>
          <w:sz w:val="20"/>
          <w:szCs w:val="20"/>
          <w:color w:val="auto"/>
        </w:rPr>
      </w:pPr>
    </w:p>
    <w:p>
      <w:pPr>
        <w:ind w:left="720" w:right="220" w:hanging="352"/>
        <w:spacing w:after="0" w:line="251"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Recently enacted and future legislation, and any change in existing government regulations and policies, may increase the difficulty and cost for us and our future collaborators to obtain marketing approval of and commercialize our product candidates and affect the prices we, or they, may obtain.</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700"/>
          </w:cols>
          <w:pgMar w:left="1080" w:top="1081" w:right="1100" w:bottom="542"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38" w:lineRule="exact"/>
        <w:rPr>
          <w:sz w:val="20"/>
          <w:szCs w:val="20"/>
          <w:color w:val="auto"/>
        </w:rPr>
      </w:pPr>
    </w:p>
    <w:p>
      <w:pPr>
        <w:ind w:left="720" w:right="680" w:hanging="353"/>
        <w:spacing w:after="0" w:line="262"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executive officers, directors and principal stockholders may have substantial influence over matters submitted to stockholders for approval.</w:t>
      </w:r>
    </w:p>
    <w:p>
      <w:pPr>
        <w:spacing w:after="0" w:line="75" w:lineRule="exact"/>
        <w:rPr>
          <w:rFonts w:ascii="Symbol" w:cs="Symbol" w:eastAsia="Symbol" w:hAnsi="Symbol"/>
          <w:sz w:val="20"/>
          <w:szCs w:val="20"/>
          <w:color w:val="auto"/>
        </w:rPr>
      </w:pPr>
    </w:p>
    <w:p>
      <w:pPr>
        <w:ind w:left="720" w:right="180" w:hanging="353"/>
        <w:spacing w:after="0" w:line="247"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Our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officers and employees.</w:t>
      </w:r>
    </w:p>
    <w:p>
      <w:pPr>
        <w:spacing w:after="0" w:line="212" w:lineRule="exact"/>
        <w:rPr>
          <w:rFonts w:ascii="Symbol" w:cs="Symbol" w:eastAsia="Symbol" w:hAnsi="Symbol"/>
          <w:sz w:val="20"/>
          <w:szCs w:val="20"/>
          <w:color w:val="auto"/>
        </w:rPr>
      </w:pPr>
    </w:p>
    <w:p>
      <w:pPr>
        <w:ind w:left="720" w:right="80" w:hanging="353"/>
        <w:spacing w:after="0" w:line="262"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required to meet the Nasdaq Stock Market, or Nasdaq, continued listing requirements and other Nasdaq rules, and if we fail to meet such rules and requirements, we may be subject to delisting.</w:t>
      </w:r>
    </w:p>
    <w:p>
      <w:pPr>
        <w:spacing w:after="0" w:line="181"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The summary risk factors described above should be read together with the text of the full risk factors below in this section entitled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and the other information set forth in this Annual Report on Form 10-K.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additional capital</w:t>
      </w:r>
    </w:p>
    <w:p>
      <w:pPr>
        <w:spacing w:after="0" w:line="24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in each year since inception. We expect to incur losses for the foreseeable future and may never achieve or maintain profitability.</w:t>
      </w:r>
    </w:p>
    <w:p>
      <w:pPr>
        <w:spacing w:after="0" w:line="157" w:lineRule="exact"/>
        <w:rPr>
          <w:sz w:val="20"/>
          <w:szCs w:val="20"/>
          <w:color w:val="auto"/>
        </w:rPr>
      </w:pPr>
    </w:p>
    <w:p>
      <w:pPr>
        <w:ind w:right="600"/>
        <w:spacing w:after="0" w:line="254" w:lineRule="auto"/>
        <w:rPr>
          <w:sz w:val="20"/>
          <w:szCs w:val="20"/>
          <w:color w:val="auto"/>
        </w:rPr>
      </w:pPr>
      <w:r>
        <w:rPr>
          <w:rFonts w:ascii="Times New Roman" w:cs="Times New Roman" w:eastAsia="Times New Roman" w:hAnsi="Times New Roman"/>
          <w:sz w:val="20"/>
          <w:szCs w:val="20"/>
          <w:color w:val="auto"/>
        </w:rPr>
        <w:t>Since our inception, we have incurred significant losses on an aggregate basis. Our net loss was $12.6 million and $13.0 million for the years ended December 31, 2025 and 2024, respectively. Our accumulated deficit was</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$333.6 million as of December 31, 2025. We have not generated any commercial revenue to date from sales of any drugs and have financed our operations principally through private placements and the net proceeds received from the initial public offering (IPO) of our common stock. We have devoted substantially all of our efforts to research and development. We expect that it will be several years, if ever, before we have any product candidates ready for commercialization. We expect to continue to incur significant expenses and increasing operating losses for the foreseeable future. The net losses we incur may fluctuate significantly from quarter to quarter.</w:t>
      </w:r>
    </w:p>
    <w:p>
      <w:pPr>
        <w:spacing w:after="0" w:line="19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To become and remain profitable, we must develop, obtain approval for and eventually commercialize a drug or drugs with significant market potential, either on our own or with a collaborator. This will require us to be successful in a range of challenging activities, including completing preclinical studies and clinical trials of our product candidates, obtaining marketing approval for these product candidates, manufacturing, marketing and selling those drugs for which we may obtain marketing approval and establishing and managing any collaborations for the development, marketing and/or commercialization of our product candidates.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and/or continue our operations. A decline in the value of our company could also cause our stockholders to lose all or part of their investment.</w:t>
      </w:r>
    </w:p>
    <w:p>
      <w:pPr>
        <w:spacing w:after="0" w:line="20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720"/>
          </w:cols>
          <w:pgMar w:left="1080" w:top="1063" w:right="1080" w:bottom="542" w:gutter="0" w:footer="0" w:header="0"/>
          <w:type w:val="continuous"/>
        </w:sectPr>
      </w:pPr>
    </w:p>
    <w:bookmarkStart w:id="50" w:name="page51"/>
    <w:bookmarkEnd w:id="50"/>
    <w:p>
      <w:pPr>
        <w:ind w:right="60"/>
        <w:spacing w:after="0" w:line="259" w:lineRule="auto"/>
        <w:rPr>
          <w:sz w:val="20"/>
          <w:szCs w:val="20"/>
          <w:color w:val="auto"/>
        </w:rPr>
      </w:pPr>
      <w:r>
        <w:rPr>
          <w:rFonts w:ascii="Times New Roman" w:cs="Times New Roman" w:eastAsia="Times New Roman" w:hAnsi="Times New Roman"/>
          <w:sz w:val="20"/>
          <w:szCs w:val="20"/>
          <w:color w:val="auto"/>
        </w:rPr>
        <w:t>Our product candidates, if approved, may not achieve commercial success. Our commercial revenues, if any, will be derived from sales of drugs that we do not expect to be commercially available for many years, if at all. If we are unable to obtain product approvals or generate significant commercial revenues, our business will be materially harmed.</w:t>
      </w:r>
    </w:p>
    <w:p>
      <w:pPr>
        <w:spacing w:after="0" w:line="176"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conditions and events that raise substantial doubt regarding our ability to continue as a going concern.</w:t>
      </w:r>
    </w:p>
    <w:p>
      <w:pPr>
        <w:spacing w:after="0" w:line="15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have incurred net losses and utilized cash in operations since inception. In addition, as of December 31, 2025, we had approximately $14.6 million in cash and cash equivalents and expect to continue to incur significant cash outflows and incur future additional losses to execute our operating plan. While we intend to finance our cash needs principally through collaborations, strategic alliances, or license agreements with third parties and/or debt or equity financings, there is no assurance that new financing will be available to us on commercially acceptable terms or in the amounts required, if at all. Due to the uncertainty in securing additional funding, and the insufficient amount of cash and cash equivalents as of December 31, 2025, we have concluded that substantial doubt exists about our ability to continue as a going concern within one year after the date of the filing of this Annual Report. If we are unsuccessful in securing sufficient financing, we may need to delay, reduce, or eliminate our research and development programs, which could adversely affect our business prospects, or cease operations.</w:t>
      </w:r>
    </w:p>
    <w:p>
      <w:pPr>
        <w:spacing w:after="0" w:line="19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Our consolidated financial statements included in this Annual Report have been prepared on a going concern basis under which an entity is able to realize its assets and satisfy its liabilities in the ordinary course of business. The consolidated financial statements do not give effect to any adjustments relating to the carrying values and classification of assets and liabilities that would be necessary should we be unable to continue as a going concern within one year after the date that the financial statements are issued.</w:t>
      </w:r>
    </w:p>
    <w:p>
      <w:pPr>
        <w:spacing w:after="0" w:line="18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Our future operations are dependent upon the successful entry into collaborations, strategic alliances, or license agreements with third parties and/or on the identification and successful completion of equity or debt financing and the achievement of profitable operations at an indeterminate time in the future. There can be no assurances that we will be successful in completing these collaborations or alliances, equity or debt financing or in achieving profitability. As such, there can be no assurance that we will be able to continue as a going concern.</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 If we are unable to continue as a going concern, you could lose all or part of your investment.</w:t>
      </w:r>
    </w:p>
    <w:p>
      <w:pPr>
        <w:spacing w:after="0" w:line="190"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 We have never generated commercial revenues and may never be profitable.</w:t>
      </w:r>
    </w:p>
    <w:p>
      <w:pPr>
        <w:spacing w:after="0" w:line="1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an early-stage company. Our operations to date have been limited to organizing and staffing our company, business planning, raising capital, developing our product candidates, identifying potential product candidates, conducting preclinical studies of our product candidates and conducting clinical trials of our product candidates. APR- 1051 and ATRN-119, are in clinical development and our other product candidates are in preclinical development. We have currently paused further patient enrollment in both the once daily and twice daily monotherapy dosing arms of ABOYA-119 and started the orderly wind-down of certain clinical trial site activities associated with the monotherapy arms as we explore ATTN-119 in potential combination approaches. We have not yet demonstrated our ability to successfully complete large-scale, pivotal clinical trials, obtain marketing approvals, manufacture commercial-scale drug products, or arrange for a third party to do so on our behalf, or conduct sales and marketing activities necessary for successful drug commercialization. Typically, it takes about six to ten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700"/>
          </w:cols>
          <w:pgMar w:left="1080" w:top="1066" w:right="1100" w:bottom="542" w:gutter="0" w:footer="0" w:header="0"/>
          <w:type w:val="continuous"/>
        </w:sectPr>
      </w:pPr>
    </w:p>
    <w:bookmarkStart w:id="51" w:name="page52"/>
    <w:bookmarkEnd w:id="51"/>
    <w:p>
      <w:pPr>
        <w:spacing w:after="0" w:line="259" w:lineRule="auto"/>
        <w:rPr>
          <w:sz w:val="20"/>
          <w:szCs w:val="20"/>
          <w:color w:val="auto"/>
        </w:rPr>
      </w:pPr>
      <w:r>
        <w:rPr>
          <w:rFonts w:ascii="Times New Roman" w:cs="Times New Roman" w:eastAsia="Times New Roman" w:hAnsi="Times New Roman"/>
          <w:sz w:val="20"/>
          <w:szCs w:val="20"/>
          <w:color w:val="auto"/>
        </w:rPr>
        <w:t>In addition, as a business with a limited operating history, we may encounter unforeseen expenses, difficulties, complications, delays and other known and unknown factors. We may need to transition from a company with a research focus to a company capable of supporting commercial activities. We may not be successful in such a transition.</w:t>
      </w:r>
    </w:p>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23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which may not be available to us on acceptable terms or at all. If we are unable to raise capital when needed, we may be forced to delay, reduce and/or eliminate our research and drug development programs or future commercialization efforts.</w:t>
      </w:r>
    </w:p>
    <w:p>
      <w:pPr>
        <w:spacing w:after="0" w:line="1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Developing drug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product candidates. In addition, if we obtain marketing approval for any of our product candidates, we expect to incur significant commercialization expenses related to drug sales, marketing, manufacturing and distribution to the extent that such sales, marketing, manufacturing and distribution are not the responsibility of any collaborator that we may have at such time for any such product candidate. Furthermore, since the completion of our IPO, we have incurred and expect to incur additional costs associated with operating as a public company. Accordingly, we will need to obtain substantial additional funding in connection with our continuing operations. The recent uncertainty and volatility in financial markets which in turn may make raising additional funds even more difficult or impossible for us. If we are unable to raise capital when needed or on attractive terms, we may be forced to delay, reduce and/or eliminate our research and drug development programs or future commercialization efforts.</w:t>
      </w:r>
    </w:p>
    <w:p>
      <w:pPr>
        <w:spacing w:after="0" w:line="19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believe that our existing cash and cash equivalents as of December 31, 2025 and the proceeds from our January 2026 private placement will be sufficient to meet our currently projected operating expenses and capital expenditure requirements into the first quarter of 2027. Our estimate as to how long we expect our existing cash and cash equivalents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capital requirements will depend on many factors, including:</w:t>
      </w:r>
    </w:p>
    <w:p>
      <w:pPr>
        <w:spacing w:after="0" w:line="215" w:lineRule="exact"/>
        <w:rPr>
          <w:sz w:val="20"/>
          <w:szCs w:val="20"/>
          <w:color w:val="auto"/>
        </w:rPr>
      </w:pPr>
    </w:p>
    <w:p>
      <w:pPr>
        <w:ind w:left="360" w:right="220" w:hanging="353"/>
        <w:spacing w:after="0" w:line="262" w:lineRule="auto"/>
        <w:tabs>
          <w:tab w:leader="none" w:pos="36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and costs of our current and future clinical trials of APR-1051 and ATRN-119 and our other product candidates for our current targeted indications;</w:t>
      </w:r>
    </w:p>
    <w:p>
      <w:pPr>
        <w:spacing w:after="0" w:line="195" w:lineRule="exact"/>
        <w:rPr>
          <w:rFonts w:ascii="Symbol" w:cs="Symbol" w:eastAsia="Symbol" w:hAnsi="Symbol"/>
          <w:sz w:val="20"/>
          <w:szCs w:val="20"/>
          <w:color w:val="auto"/>
        </w:rPr>
      </w:pPr>
    </w:p>
    <w:p>
      <w:pPr>
        <w:ind w:left="360" w:right="600" w:hanging="353"/>
        <w:spacing w:after="0" w:line="262" w:lineRule="auto"/>
        <w:tabs>
          <w:tab w:leader="none" w:pos="36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and costs of drug discovery, preclinical research and clinical trials for APR-1051, ATRN-119 and our other product candidates;</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and results of exploring ATTN-119 in potential combination approaches;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future product candidates that we pursue and their development requirements;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238" w:lineRule="exact"/>
        <w:rPr>
          <w:rFonts w:ascii="Symbol" w:cs="Symbol" w:eastAsia="Symbol" w:hAnsi="Symbol"/>
          <w:sz w:val="20"/>
          <w:szCs w:val="20"/>
          <w:color w:val="auto"/>
        </w:rPr>
      </w:pPr>
    </w:p>
    <w:p>
      <w:pPr>
        <w:jc w:val="both"/>
        <w:ind w:left="360" w:right="680" w:hanging="353"/>
        <w:spacing w:after="0" w:line="251" w:lineRule="auto"/>
        <w:tabs>
          <w:tab w:leader="none" w:pos="36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acquire or invest in businesses, products and technologies, including entering into or maintaining licensing or collaboration arrangements for product candidates on favorable terms, although we currently have no commitments or agreements to complete any such transactions;</w:t>
      </w:r>
    </w:p>
    <w:p>
      <w:pPr>
        <w:spacing w:after="0" w:line="207" w:lineRule="exact"/>
        <w:rPr>
          <w:rFonts w:ascii="Symbol" w:cs="Symbol" w:eastAsia="Symbol" w:hAnsi="Symbol"/>
          <w:sz w:val="20"/>
          <w:szCs w:val="20"/>
          <w:color w:val="auto"/>
        </w:rPr>
      </w:pPr>
    </w:p>
    <w:p>
      <w:pPr>
        <w:jc w:val="both"/>
        <w:ind w:left="360" w:right="440" w:hanging="353"/>
        <w:spacing w:after="0" w:line="262" w:lineRule="auto"/>
        <w:tabs>
          <w:tab w:leader="none" w:pos="36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and timing of future commercialization activities, including drug sales, marketing, manufacturing and distribution, for any of our product candidates for which we receive marketing approval, to the extent that such</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700"/>
          </w:cols>
          <w:pgMar w:left="1080" w:top="1066" w:right="1100" w:bottom="542" w:gutter="0" w:footer="0" w:header="0"/>
          <w:type w:val="continuous"/>
        </w:sectPr>
      </w:pPr>
    </w:p>
    <w:bookmarkStart w:id="52" w:name="page53"/>
    <w:bookmarkEnd w:id="52"/>
    <w:p>
      <w:pPr>
        <w:ind w:left="360" w:right="220"/>
        <w:spacing w:after="0" w:line="278" w:lineRule="auto"/>
        <w:rPr>
          <w:sz w:val="20"/>
          <w:szCs w:val="20"/>
          <w:color w:val="auto"/>
        </w:rPr>
      </w:pPr>
      <w:r>
        <w:rPr>
          <w:rFonts w:ascii="Times New Roman" w:cs="Times New Roman" w:eastAsia="Times New Roman" w:hAnsi="Times New Roman"/>
          <w:sz w:val="20"/>
          <w:szCs w:val="20"/>
          <w:color w:val="auto"/>
        </w:rPr>
        <w:t>sales, marketing, manufacturing and distribution are not the responsibility of any collaborator that we may have at such time;</w:t>
      </w:r>
    </w:p>
    <w:p>
      <w:pPr>
        <w:spacing w:after="0" w:line="182" w:lineRule="exact"/>
        <w:rPr>
          <w:sz w:val="20"/>
          <w:szCs w:val="20"/>
          <w:color w:val="auto"/>
        </w:rPr>
      </w:pPr>
    </w:p>
    <w:p>
      <w:pPr>
        <w:ind w:left="360" w:right="100" w:hanging="353"/>
        <w:spacing w:after="0" w:line="262" w:lineRule="auto"/>
        <w:tabs>
          <w:tab w:leader="none" w:pos="36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amount of revenue, if any, received from commercial sales of our product candidates, should any of our product candidates receive marketing approval;</w:t>
      </w:r>
    </w:p>
    <w:p>
      <w:pPr>
        <w:spacing w:after="0" w:line="195" w:lineRule="exact"/>
        <w:rPr>
          <w:rFonts w:ascii="Symbol" w:cs="Symbol" w:eastAsia="Symbol" w:hAnsi="Symbol"/>
          <w:sz w:val="20"/>
          <w:szCs w:val="20"/>
          <w:color w:val="auto"/>
        </w:rPr>
      </w:pPr>
    </w:p>
    <w:p>
      <w:pPr>
        <w:ind w:left="360" w:right="780" w:hanging="353"/>
        <w:spacing w:after="0" w:line="262" w:lineRule="auto"/>
        <w:tabs>
          <w:tab w:leader="none" w:pos="36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defending and enforcing our intellectual property rights and defending intellectual property-related claims;</w:t>
      </w:r>
    </w:p>
    <w:p>
      <w:pPr>
        <w:spacing w:after="0" w:line="195" w:lineRule="exact"/>
        <w:rPr>
          <w:rFonts w:ascii="Symbol" w:cs="Symbol" w:eastAsia="Symbol" w:hAnsi="Symbol"/>
          <w:sz w:val="20"/>
          <w:szCs w:val="20"/>
          <w:color w:val="auto"/>
        </w:rPr>
      </w:pPr>
    </w:p>
    <w:p>
      <w:pPr>
        <w:ind w:left="360" w:right="80" w:hanging="353"/>
        <w:spacing w:after="0" w:line="262" w:lineRule="auto"/>
        <w:tabs>
          <w:tab w:leader="none" w:pos="36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our headcount growth and associated costs as we expand our business operations and our research and development activities; and</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265"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and restrict our operations or require us to relinquish rights to our product candidates.</w:t>
      </w:r>
    </w:p>
    <w:p>
      <w:pPr>
        <w:spacing w:after="0" w:line="15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expect our expenses to increase in connection with our planned operations. Until such time, if ever, as we can generate substantial revenues from the sale of drugs, we expect to finance our cash needs through a combination of equity offerings, debt financings, collaborations, strategic alliances and/or licensing arrangements. To the extent that we raise additional capital through the sale of equity or convertible debt securities, ownership interests in our securities may be diluted, and the terms of these securities could include liquidation or other preferences and anti-dilution protections that could adversely affect the rights of our common stockholders.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9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licensing arrangements with third parties, we may have to relinquish valuable rights to our technology, future revenue streams or product candidates or grant licenses on terms that may not be favorable to us. If we are unable to raise additional funds when needed, we may be required to delay, reduce and/or eliminate our product candidate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currently operating in a period of global economic uncertainty and capital markets disruption, which has been significantly impacted by geopolitical conflicts, natural and man-made disasters, global health emergencies and uncertainties in regulatory developments and legislative actions, which could adversely affect our business, financial condition and results of operations.</w:t>
      </w:r>
    </w:p>
    <w:p>
      <w:pPr>
        <w:spacing w:after="0" w:line="18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uncertainty from political conditions and changing regulations, and disruption of global financial markets that may result in a recession or market correction. The financial markets and the global economy may be adversely affected by the current or anticipated impact of war, terrorism and geopolitical conflicts, including in Russia and Ukraine, the Middle East and other areas. Sanctions and enhanced export controls imposed by the United States and other countries in response to such conflicts may also adversely impact the financial markets and the global economy, and any economic countermeasures by the affected countries or others could exacerbate market and economic instability.</w:t>
      </w:r>
    </w:p>
    <w:p>
      <w:pPr>
        <w:spacing w:after="0" w:line="1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Changes in regulations and policies by the U.S. administration and the resulting political and economic uncertainty in the United States may also impact us, the financial markets and the global economy. For example, in April 2025, increased tariffs were imposed on all countries and individualized “reciprocal” higher tariffs on certain countries with which the United States has the largest trade deficits, with the highest tariffs imposed on imports from China. China and other countries responded by announcing retaliatory tariffs on U.S. imports. A few days later, the tariffs imposed on most</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720"/>
          </w:cols>
          <w:pgMar w:left="1080" w:top="1066" w:right="1080" w:bottom="542" w:gutter="0" w:footer="0" w:header="0"/>
          <w:type w:val="continuous"/>
        </w:sectPr>
      </w:pPr>
    </w:p>
    <w:bookmarkStart w:id="53" w:name="page54"/>
    <w:bookmarkEnd w:id="53"/>
    <w:p>
      <w:pPr>
        <w:spacing w:after="0" w:line="245" w:lineRule="auto"/>
        <w:rPr>
          <w:sz w:val="20"/>
          <w:szCs w:val="20"/>
          <w:color w:val="auto"/>
        </w:rPr>
      </w:pPr>
      <w:r>
        <w:rPr>
          <w:rFonts w:ascii="Times New Roman" w:cs="Times New Roman" w:eastAsia="Times New Roman" w:hAnsi="Times New Roman"/>
          <w:sz w:val="20"/>
          <w:szCs w:val="20"/>
          <w:color w:val="auto"/>
        </w:rPr>
        <w:t>countries were reduced to 10 percent, with the exception of China, for a period of 90 days to allow trade negotiations with those countries. It is unclear whether the tariff increases with China will continue to escalate. The tariff increases have significantly disrupted the global markets and may significantly escalate tensions between the U.S. and other countries, especially China. We procure APIs and other raw materials from a supplier in China . The extent of the impact that such tariffs, trade policies, or new legislation or regulations will have on our business specifically, or on the U.S. market and global economy generally, are uncertain and in the long term, unpredictable, and could adversely affect our business, financial condition, and results of operations. The continued impact of these tariffs may impair our plans for further drug development in the U.S. market as well as our ability to generate revenues.</w:t>
      </w:r>
    </w:p>
    <w:p>
      <w:pPr>
        <w:spacing w:after="0" w:line="19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The current U.S. administration has recently issued regulations to restrict direct and indirect investment by U.S. persons into companies with specified connections to China that use specific technologies of concern. Such changes in the regulations and policies by the current U.S. administration and the resulting political and economic uncertainty materially impact our operations and those of our third-party service providers and reduce our ability to access capital, which could negatively affect our liquidity and adversely affect our business and the value of our common stock. The current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in April 2025, an executive order to lower prescription drug prices was signed. The details of such proposed regulations and policies are unclear, and the final terms and impact remain uncertain and may pose long-term risks to our business.</w:t>
      </w:r>
    </w:p>
    <w:p>
      <w:pPr>
        <w:spacing w:after="0" w:line="19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addition, natural and man-made disasters and global health emergencies, including pandemics and epidemics, may adversely affect the financial markets and global economy, increase inflation and result in significant business disruptions. We and our third-party services providers could be subject to the impact of natural or man-made disasters and other business disruptions, which include, but are not limited to, hurricanes, flooding, typhoons, tornados, wildfires and fires, drought, extreme heat, earthquakes, water shortages, blizzards and other extreme weather conditions, resulting in significant damage to our facilities, inventory or equipment, which could disrupt, delay or curtail our operations. Such business disruptions may also heighten the risk of power outages, telecommunications, transportation or other infrastructure failure, cybersecurity incidents or physical security breaches. The cost of insurance has increased significantly, including as a result of the impact of climate change and inflation, and we may not be able to obtain sufficient coverage at a reasonable cost to protect us against losses from such disasters and unforeseen events.</w:t>
      </w:r>
    </w:p>
    <w:p>
      <w:pPr>
        <w:spacing w:after="0" w:line="19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volatile business environment or continued unpredictable and unstable market conditions may result in further deterioration of the equity and credit markets, significant volatility in commodity prices, as well as supply chain interruptions and result in an economic downturn, which would make any equity or debt financing more difficult, costly and dilutive. Failure to secure any necessary financing in a timely manner and on favorable terms could have a material adverse effect on our growth strategy, financial performance and stock price and could require us to delay, limit, reduce, or terminate our product development or future commercialization efforts.</w:t>
      </w:r>
    </w:p>
    <w:p>
      <w:pPr>
        <w:spacing w:after="0" w:line="18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Although our business has not been materially impacted by the tariffs adopted to date or adverse effects of geopolitical events, natural or man-made disasters or other business disruptions to date, such matters may affect our business in the future and it is impossible to predict the extent to which our operations, or those of our suppliers and manufacturers, will be impacted in the short and long term, or the ways in which such matters may impact our business. The extent and duration of such adverse geopolitical events, natural or man-made disasters or other business disruptions and actual or perceived political or economic instability and resulting market disruptions are impossible to predict but could be substantial. Any such disruptions may also magnify the impact of other risks described herein.</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700"/>
          </w:cols>
          <w:pgMar w:left="1080" w:top="1066" w:right="1100" w:bottom="542" w:gutter="0" w:footer="0" w:header="0"/>
          <w:type w:val="continuous"/>
        </w:sectPr>
      </w:pPr>
    </w:p>
    <w:bookmarkStart w:id="54" w:name="page55"/>
    <w:bookmarkEnd w:id="54"/>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the SEC and other government agencies caused by funding shortages, government shutdowns or global health emergencies, their inability to hire, retain or deploy key leadership and other personnel, a high turnover of key leadership positions, or significant changes in policies and processes based on political considerations could prevent products from being developed, approved or commercialized in a timely manner or at all or otherwise prevent those agencies from performing normal business functions on which the operation of our business may rely, which could negatively impact our operations.</w:t>
      </w:r>
    </w:p>
    <w:p>
      <w:pPr>
        <w:spacing w:after="0" w:line="19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The ability of the FDA and other government agencies to review and approve products can be affected by a variety of factors, including government budget and funding levels, statutory, regulatory and policy changes, a government agency’s ability to hire and retain key personnel and accept the payment of user fees, high turnover in key leadership positions, and other events that may otherwise affect the government agency’s ability to perform routine functions. Average review times at the FDA and other government agencies have fluctuated in recent years as a result. For example, over the last several years, the U.S. government has shut down several times and certain regulatory agencies, such as the FDA and SEC, have had to furlough critical employees and stop critical activities. In addition, government funding of agencies on which our operations may rely, including those that fund research and development activities, is subject to the political process, which is inherently fluid and unpredictable. Such disruptions at the FDA and other agencies may also increase the time necessary for new therapies or modifications to approved therapies to be reviewed and/or approved by necessary government agencies, which would adversely affect our business.</w:t>
      </w:r>
    </w:p>
    <w:p>
      <w:pPr>
        <w:spacing w:after="0" w:line="199"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political and economic environment in the United States could materially impact our business operations and financial performance, and uncertainty surrounding the potential legal, regulatory and policy changes by the U.S. administration may directly affect us and the global economy.</w:t>
      </w:r>
    </w:p>
    <w:p>
      <w:pPr>
        <w:spacing w:after="0" w:line="1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political and economic environment in the United States and elsewhere has resulted in and will continue to result in some uncertainty. Changing regulatory policies because of the changing political environment could impact our regulatory and compliance costs and future revenues, all of which could materially and adversely affect our business, financial condition and operating results. For example, significant layoffs or turnover at FDA could affect the FDA’s ability to respond to regulatory filings. High turnover of key FDA leadership positions could result in regulatory inconsistency and unpredictability that may undermine product development and approval. Failure to adapt to or comply with evolving regulatory requirements or investor or stakeholder expectations and standards could negatively impact our reputation, ability to do business with certain partners, access to capital and our stock price.</w:t>
      </w:r>
    </w:p>
    <w:p>
      <w:pPr>
        <w:spacing w:after="0" w:line="20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Further, the current U.S. administration and congressional seat turnover may result in increased regulatory and economic uncertainty. Changes in federal policy by the executive branch and regulatory agencies may occur over time through the new presidential administration’s and/or Congress’s policy and personnel changes, which could lead to changes involving the level of oversight and focus on the pharmaceutical industry; however, the nature, timing and economic and political effects of such potential changes remain highly uncertain. Any future changes in federal and state laws and regulations, as well as the interpretation and implementation of such laws and regulations, could affect us in substantial and unpredictable ways. At this time, it is unclear what laws, regulations and policies may change and whether future changes or uncertainty surrounding future changes will adversely affect our operating environment and therefore our business, financial condition and results of operations.</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stated that all depositors of SVB would have access to all of their money after only one business day of</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680"/>
          </w:cols>
          <w:pgMar w:left="1080" w:top="1066" w:right="1120" w:bottom="542" w:gutter="0" w:footer="0" w:header="0"/>
          <w:type w:val="continuous"/>
        </w:sectPr>
      </w:pPr>
    </w:p>
    <w:bookmarkStart w:id="55" w:name="page56"/>
    <w:bookmarkEnd w:id="55"/>
    <w:p>
      <w:pPr>
        <w:ind w:right="40"/>
        <w:spacing w:after="0" w:line="244" w:lineRule="auto"/>
        <w:rPr>
          <w:sz w:val="20"/>
          <w:szCs w:val="20"/>
          <w:color w:val="auto"/>
        </w:rPr>
      </w:pPr>
      <w:r>
        <w:rPr>
          <w:rFonts w:ascii="Times New Roman" w:cs="Times New Roman" w:eastAsia="Times New Roman" w:hAnsi="Times New Roman"/>
          <w:sz w:val="20"/>
          <w:szCs w:val="20"/>
          <w:color w:val="auto"/>
        </w:rPr>
        <w:t>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9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9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700"/>
          </w:cols>
          <w:pgMar w:left="1080" w:top="1066" w:right="1100" w:bottom="542"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our product candidates</w:t>
      </w:r>
    </w:p>
    <w:p>
      <w:pPr>
        <w:spacing w:after="0" w:line="23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the success of APR-1051 and ATRN-119 which are in clinical development. Our clinical trials of APR-1051 and ATRN-119 may not be successful. If we are unable to obtain approval for and commercialize APR-1051 and ATRN-119 or experience significant delays in doing so, our business will be materially harmed.</w:t>
      </w:r>
    </w:p>
    <w:p>
      <w:pPr>
        <w:spacing w:after="0" w:line="18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We have no products approved for sale. Our future success is substantially dependent on our ability to timely obtain marketing approval for, and then successfully commercialize, ATRN-119 and APR-1051. We are investing a majority of our efforts and financial resources in the research and development of ATRN -119 and APR-1051. Our business depends entirely on the successful development and commercialization of our product candidates. We currently have no drugs approved for sale and generate no revenues from sales of any products, and we may never be able to develop a marketable product.</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commercially or promote any of our product candidates in the U.S. before we receive marketing approval from the FDA, and in other jurisdictions subject to marketing authorization from comparable foreign regulatory authorities, and we may never receive such marketing approvals.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success of APR-1051 and ATRN-119 will depend on several factors, including the following:</w:t>
      </w:r>
    </w:p>
    <w:p>
      <w:pPr>
        <w:spacing w:after="0" w:line="255" w:lineRule="exact"/>
        <w:rPr>
          <w:sz w:val="20"/>
          <w:szCs w:val="20"/>
          <w:color w:val="auto"/>
        </w:rPr>
      </w:pPr>
    </w:p>
    <w:p>
      <w:pPr>
        <w:ind w:left="360" w:hanging="353"/>
        <w:spacing w:after="0"/>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patient enrollment and timely completion of clinical trials of APR-1051 and ATRN-119;</w:t>
      </w:r>
    </w:p>
    <w:p>
      <w:pPr>
        <w:spacing w:after="0" w:line="238" w:lineRule="exact"/>
        <w:rPr>
          <w:rFonts w:ascii="Symbol" w:cs="Symbol" w:eastAsia="Symbol" w:hAnsi="Symbol"/>
          <w:sz w:val="20"/>
          <w:szCs w:val="20"/>
          <w:color w:val="auto"/>
        </w:rPr>
      </w:pPr>
    </w:p>
    <w:p>
      <w:pPr>
        <w:ind w:left="360" w:right="140" w:hanging="353"/>
        <w:spacing w:after="0" w:line="262" w:lineRule="auto"/>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initiation and successful patient enrollment and completion of additional clinical trials, for APR-1051 or ATRN-119 or our other product candidates;</w:t>
      </w:r>
    </w:p>
    <w:p>
      <w:pPr>
        <w:spacing w:after="0" w:line="195" w:lineRule="exact"/>
        <w:rPr>
          <w:rFonts w:ascii="Symbol" w:cs="Symbol" w:eastAsia="Symbol" w:hAnsi="Symbol"/>
          <w:sz w:val="20"/>
          <w:szCs w:val="20"/>
          <w:color w:val="auto"/>
        </w:rPr>
      </w:pPr>
    </w:p>
    <w:p>
      <w:pPr>
        <w:ind w:left="360" w:right="20" w:hanging="353"/>
        <w:spacing w:after="0" w:line="247" w:lineRule="auto"/>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with the current pause on further patient enrollment in both once daily and twice daily monotherapy dosing arms of ABOYA-119 and the orderly wind-down of certain clinical trial site activities associated with the monotherapy arms as we explore ATTN-119 in potential combination approaches, we may be unable to advance development of ATRN-119 for monotherapy in a timely manner, if at all;</w:t>
      </w:r>
    </w:p>
    <w:p>
      <w:pPr>
        <w:spacing w:after="0" w:line="212" w:lineRule="exact"/>
        <w:rPr>
          <w:rFonts w:ascii="Symbol" w:cs="Symbol" w:eastAsia="Symbol" w:hAnsi="Symbol"/>
          <w:sz w:val="20"/>
          <w:szCs w:val="20"/>
          <w:color w:val="auto"/>
        </w:rPr>
      </w:pPr>
    </w:p>
    <w:p>
      <w:pPr>
        <w:ind w:left="360" w:right="220" w:hanging="353"/>
        <w:spacing w:after="0" w:line="251" w:lineRule="auto"/>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While we are currently considering further ATRN-119 development in combination approaches that could expand its therapeutic potential, we may be unable to advance development of ATRN-119 in combinations in a timely manner, if at all;</w:t>
      </w:r>
    </w:p>
    <w:p>
      <w:pPr>
        <w:spacing w:after="0" w:line="207" w:lineRule="exact"/>
        <w:rPr>
          <w:rFonts w:ascii="Symbol" w:cs="Symbol" w:eastAsia="Symbol" w:hAnsi="Symbol"/>
          <w:sz w:val="20"/>
          <w:szCs w:val="20"/>
          <w:color w:val="auto"/>
        </w:rPr>
      </w:pPr>
    </w:p>
    <w:p>
      <w:pPr>
        <w:ind w:left="360" w:right="120" w:hanging="353"/>
        <w:spacing w:after="0" w:line="262" w:lineRule="auto"/>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demonstrate APR-1051’s and ATRN-119’s safety and efficacy to the FDA or any comparable foreign regulatory authority for marketing approval;</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timely receipt of marketing approvals for APR-1051 and ATRN-119;</w:t>
      </w:r>
    </w:p>
    <w:p>
      <w:pPr>
        <w:spacing w:after="0" w:line="239" w:lineRule="exact"/>
        <w:rPr>
          <w:rFonts w:ascii="Symbol" w:cs="Symbol" w:eastAsia="Symbol" w:hAnsi="Symbol"/>
          <w:sz w:val="20"/>
          <w:szCs w:val="20"/>
          <w:color w:val="auto"/>
        </w:rPr>
      </w:pPr>
    </w:p>
    <w:p>
      <w:pPr>
        <w:ind w:left="360" w:right="280" w:hanging="353"/>
        <w:spacing w:after="0" w:line="262" w:lineRule="auto"/>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and maintaining patent protection, trade secret protection and regulatory exclusivity, both in the United States and internationally;</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successfully defending and enforcing our rights in our intellectual property portfolio;</w:t>
      </w:r>
    </w:p>
    <w:p>
      <w:pPr>
        <w:spacing w:after="0" w:line="239" w:lineRule="exact"/>
        <w:rPr>
          <w:rFonts w:ascii="Symbol" w:cs="Symbol" w:eastAsia="Symbol" w:hAnsi="Symbol"/>
          <w:sz w:val="20"/>
          <w:szCs w:val="20"/>
          <w:color w:val="auto"/>
        </w:rPr>
      </w:pPr>
    </w:p>
    <w:p>
      <w:pPr>
        <w:ind w:left="360" w:right="620" w:hanging="353"/>
        <w:spacing w:after="0" w:line="262" w:lineRule="auto"/>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avoiding and successfully defending against any claims that we have infringed, misappropriated or otherwise violated any intellectual property of any third party;</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performance of our future collaborators, if any;</w:t>
      </w:r>
    </w:p>
    <w:p>
      <w:pPr>
        <w:sectPr>
          <w:pgSz w:w="11880" w:h="15480" w:orient="portrait"/>
          <w:cols w:equalWidth="0" w:num="1">
            <w:col w:w="9720"/>
          </w:cols>
          <w:pgMar w:left="1080" w:top="1062"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720"/>
          </w:cols>
          <w:pgMar w:left="1080" w:top="1062" w:right="1080" w:bottom="542" w:gutter="0" w:footer="0" w:header="0"/>
          <w:type w:val="continuous"/>
        </w:sectPr>
      </w:pPr>
    </w:p>
    <w:bookmarkStart w:id="57" w:name="page58"/>
    <w:bookmarkEnd w:id="57"/>
    <w:p>
      <w:pPr>
        <w:ind w:left="360" w:right="660" w:hanging="353"/>
        <w:spacing w:after="0" w:line="262" w:lineRule="auto"/>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of, and our ability to timely complete, any post-marketing approval commitments or requirements imposed by FDA or other applicable regulatory authorities;</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successfully developing a companion diagnostic test on a timely and cost effective basis;</w:t>
      </w:r>
    </w:p>
    <w:p>
      <w:pPr>
        <w:spacing w:after="0" w:line="238" w:lineRule="exact"/>
        <w:rPr>
          <w:rFonts w:ascii="Symbol" w:cs="Symbol" w:eastAsia="Symbol" w:hAnsi="Symbol"/>
          <w:sz w:val="20"/>
          <w:szCs w:val="20"/>
          <w:color w:val="auto"/>
        </w:rPr>
      </w:pPr>
    </w:p>
    <w:p>
      <w:pPr>
        <w:ind w:left="360" w:right="20" w:hanging="353"/>
        <w:spacing w:after="0" w:line="245" w:lineRule="auto"/>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establishment of supply arrangements with third-party raw materials and drug product suppliers and manufacturers who are able to manufacture clinical trial and commercial quantities of APR-1051 and ATRN-119 drug substance and drug product and to develop, validate and maintain a commercially viable manufacturing process that is compliant with current good manufacturing practices, or cGMP, at a scale sufficient to meet anticipated demand and over time enable us to reduce our cost of manufacturing;</w:t>
      </w:r>
    </w:p>
    <w:p>
      <w:pPr>
        <w:spacing w:after="0" w:line="215" w:lineRule="exact"/>
        <w:rPr>
          <w:rFonts w:ascii="Symbol" w:cs="Symbol" w:eastAsia="Symbol" w:hAnsi="Symbol"/>
          <w:sz w:val="20"/>
          <w:szCs w:val="20"/>
          <w:color w:val="auto"/>
        </w:rPr>
      </w:pPr>
    </w:p>
    <w:p>
      <w:pPr>
        <w:ind w:left="360" w:right="80" w:hanging="353"/>
        <w:spacing w:after="0" w:line="262" w:lineRule="auto"/>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establishment of scaled production arrangements with third-party manufacturers to obtain finished products that are compliant with cGMP and appropriately packaged for sale;</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launch of commercial sales following any marketing approval;</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a continued acceptable safety and efficacy profile following any marketing approval;</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commercial acceptance by patients, the medical community and third-party payors;</w:t>
      </w:r>
    </w:p>
    <w:p>
      <w:pPr>
        <w:spacing w:after="0" w:line="239" w:lineRule="exact"/>
        <w:rPr>
          <w:rFonts w:ascii="Symbol" w:cs="Symbol" w:eastAsia="Symbol" w:hAnsi="Symbol"/>
          <w:sz w:val="20"/>
          <w:szCs w:val="20"/>
          <w:color w:val="auto"/>
        </w:rPr>
      </w:pPr>
    </w:p>
    <w:p>
      <w:pPr>
        <w:ind w:left="360" w:right="760" w:hanging="353"/>
        <w:spacing w:after="0" w:line="262" w:lineRule="auto"/>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the availability of coverage and adequate reimbursement and pricing by third-party payors and government authorities;</w:t>
      </w:r>
    </w:p>
    <w:p>
      <w:pPr>
        <w:spacing w:after="0" w:line="195" w:lineRule="exact"/>
        <w:rPr>
          <w:rFonts w:ascii="Symbol" w:cs="Symbol" w:eastAsia="Symbol" w:hAnsi="Symbol"/>
          <w:sz w:val="20"/>
          <w:szCs w:val="20"/>
          <w:color w:val="auto"/>
        </w:rPr>
      </w:pPr>
    </w:p>
    <w:p>
      <w:pPr>
        <w:ind w:left="360" w:hanging="353"/>
        <w:spacing w:after="0" w:line="262" w:lineRule="auto"/>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the availability, perceived advantages, relative cost, relative safety and relative efficacy of alternative and competing treatments; and</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compete with other therapies.</w:t>
      </w:r>
    </w:p>
    <w:p>
      <w:pPr>
        <w:spacing w:after="0" w:line="22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We do not have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assure you that we will ever be able to generate revenue through the sale of our product candidates. If we are not successful in commercializing APR-1051 or ATRN- 119, or are significantly delayed in doing so, our business will be materially harmed.</w:t>
      </w:r>
    </w:p>
    <w:p>
      <w:pPr>
        <w:spacing w:after="0" w:line="19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in the early stages of testing APR-1051 and ATRN -119 in Phase 1 clinical trials and we have not tested APR- 1051 or ATRN-119 in later phase clinical trials. The results of preclinical studies and early-stage clinical trials may not be predictive of future results in later studies or trials. Initial success in clinical trials may not be indicative of results obtained when these trials are completed or in later-stage clinical trials.</w:t>
      </w:r>
    </w:p>
    <w:p>
      <w:pPr>
        <w:spacing w:after="0" w:line="18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are in the early stages of testing APR-1051 and ATRN-119 in clinical trials and we have not tested APR-1051 or ATRN-119 in later phase clinical trials. The results of preclinical studies, whether or not conducted by us, may not be predictive of the results of clinical trials, and the results of the early-stage clinical trials that we are conducting today and that we may commence in the future may not be predictive of the results of the later-phase clinical trials. For example, even if successful, the results of our Phase 1 clinical trials of our product candidates APR-1051 and ATRN-119 and other product candidates may not be predictive of the results of further clinical trials of these product candidates or any of our other product candidates. In addition, initial success in clinical trials may not be indicative of results obtained when such trials are completed on in later stage clinical trials. In particular, the small number of patients in our current and planned early clinical trials may make the results of these trials less predictive of the outcome of later clinical trials. Moreover, preclinical and clinical data often are susceptible to varying interpretations and analyses, and many companies that have believed their product candidates performed satisfactorily in preclinical studies and clinical trials nonetheless have failed to obtain marketing licensure of their product candidates. Our current and future clinical trials for APR-1051 and ATRN-119 may not ultimately be successful or support further clinical development. There is a high failure rate for product candidates proceeding through clinical trials. In addition, with the current pause on further patient</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700"/>
          </w:cols>
          <w:pgMar w:left="1080" w:top="1081" w:right="1100" w:bottom="542" w:gutter="0" w:footer="0" w:header="0"/>
          <w:type w:val="continuous"/>
        </w:sectPr>
      </w:pPr>
    </w:p>
    <w:bookmarkStart w:id="58" w:name="page59"/>
    <w:bookmarkEnd w:id="58"/>
    <w:p>
      <w:pPr>
        <w:ind w:right="20"/>
        <w:spacing w:after="0" w:line="247" w:lineRule="auto"/>
        <w:rPr>
          <w:sz w:val="20"/>
          <w:szCs w:val="20"/>
          <w:color w:val="auto"/>
        </w:rPr>
      </w:pPr>
      <w:r>
        <w:rPr>
          <w:rFonts w:ascii="Times New Roman" w:cs="Times New Roman" w:eastAsia="Times New Roman" w:hAnsi="Times New Roman"/>
          <w:sz w:val="20"/>
          <w:szCs w:val="20"/>
          <w:color w:val="auto"/>
        </w:rPr>
        <w:t>enrollment in both once daily and twice daily monotherapy dosing arms of ABOYA-119 and the orderly wind- down of certain clinical trial site activities associated with the monotherapy arms as we explore ATTN-119 in potential combination approaches, we may be unable to advance development of ATRN-119 for monotherapy in a timely manner, if at all. Many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190"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file INDs or IND amendments to commence additional clinical trials on the timelines we expect, and even if we are able to, the FDA may not permit us to proceed</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have filed and obtained issuance of INDs for APR-1051 and ATRN-119, but we may not be able to file and obtain issuance of INDs that may be required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lead FDA, IRBs, or other authorities to suspend, terminate, or require changes to our clinical trials. Additionally, even if such regulatory and other authorities agree with the design and implementation of the clinical trials set forth in an IND, we cannot guarantee that such regulatory authorities will not change their requirements in the future. These considerations also apply to new clinical trials and changes to existing clinical trials we may submit as amendments to existing INDs or to a new IND. Any failure to file and obtain issuance of INDs on the timelines we expect or to obtain regulatory clearance or approvals for our trials may prevent us from completing our clinical trials or commercializing our products on a timely basis, if at all.</w:t>
      </w:r>
    </w:p>
    <w:p>
      <w:pPr>
        <w:spacing w:after="0" w:line="19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as a company conducting clinical trials and may be unable to complete pivotal clinical trials for any product candidates we may develop.</w:t>
      </w:r>
    </w:p>
    <w:p>
      <w:pPr>
        <w:spacing w:after="0" w:line="159"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20"/>
          <w:szCs w:val="20"/>
          <w:color w:val="auto"/>
        </w:rPr>
        <w:t>Our success is dependent upon our ability to initiate and successfully complete clinical trials and obtain regulatory approval for and commercialization of our product candidates. We have not demonstrated an ability to perform the functions necessary for the approval or successful commercialization of any product candidate. The successful commercialization of any product candidate may require us to perform a variety of functions, including:</w:t>
      </w:r>
    </w:p>
    <w:p>
      <w:pPr>
        <w:spacing w:after="0" w:line="198" w:lineRule="exact"/>
        <w:rPr>
          <w:sz w:val="20"/>
          <w:szCs w:val="20"/>
          <w:color w:val="auto"/>
        </w:rPr>
      </w:pPr>
    </w:p>
    <w:p>
      <w:pPr>
        <w:ind w:left="360" w:hanging="353"/>
        <w:spacing w:after="0"/>
        <w:tabs>
          <w:tab w:leader="none" w:pos="36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continuing to undertake preclinical development;</w:t>
      </w:r>
    </w:p>
    <w:p>
      <w:pPr>
        <w:spacing w:after="0" w:line="228" w:lineRule="exact"/>
        <w:rPr>
          <w:rFonts w:ascii="Symbol" w:cs="Symbol" w:eastAsia="Symbol" w:hAnsi="Symbol"/>
          <w:sz w:val="20"/>
          <w:szCs w:val="20"/>
          <w:color w:val="auto"/>
        </w:rPr>
      </w:pPr>
    </w:p>
    <w:p>
      <w:pPr>
        <w:ind w:left="360" w:hanging="353"/>
        <w:spacing w:after="0"/>
        <w:tabs>
          <w:tab w:leader="none" w:pos="36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designing and obtaining approval to commence clinical trials;</w:t>
      </w:r>
    </w:p>
    <w:p>
      <w:pPr>
        <w:spacing w:after="0" w:line="228" w:lineRule="exact"/>
        <w:rPr>
          <w:rFonts w:ascii="Symbol" w:cs="Symbol" w:eastAsia="Symbol" w:hAnsi="Symbol"/>
          <w:sz w:val="20"/>
          <w:szCs w:val="20"/>
          <w:color w:val="auto"/>
        </w:rPr>
      </w:pPr>
    </w:p>
    <w:p>
      <w:pPr>
        <w:ind w:left="360" w:hanging="353"/>
        <w:spacing w:after="0"/>
        <w:tabs>
          <w:tab w:leader="none" w:pos="36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successfully planning and enrolling subjects in clinical trials;</w:t>
      </w:r>
    </w:p>
    <w:p>
      <w:pPr>
        <w:spacing w:after="0" w:line="230" w:lineRule="exact"/>
        <w:rPr>
          <w:rFonts w:ascii="Symbol" w:cs="Symbol" w:eastAsia="Symbol" w:hAnsi="Symbol"/>
          <w:sz w:val="20"/>
          <w:szCs w:val="20"/>
          <w:color w:val="auto"/>
        </w:rPr>
      </w:pPr>
    </w:p>
    <w:p>
      <w:pPr>
        <w:ind w:left="360" w:hanging="353"/>
        <w:spacing w:after="0"/>
        <w:tabs>
          <w:tab w:leader="none" w:pos="36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successfully completing clinical trials to obtain data that support regulatory approvals;</w:t>
      </w:r>
    </w:p>
    <w:p>
      <w:pPr>
        <w:spacing w:after="0" w:line="228" w:lineRule="exact"/>
        <w:rPr>
          <w:rFonts w:ascii="Symbol" w:cs="Symbol" w:eastAsia="Symbol" w:hAnsi="Symbol"/>
          <w:sz w:val="20"/>
          <w:szCs w:val="20"/>
          <w:color w:val="auto"/>
        </w:rPr>
      </w:pPr>
    </w:p>
    <w:p>
      <w:pPr>
        <w:ind w:left="360" w:hanging="353"/>
        <w:spacing w:after="0"/>
        <w:tabs>
          <w:tab w:leader="none" w:pos="36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participating in regulatory approval processes;</w:t>
      </w:r>
    </w:p>
    <w:p>
      <w:pPr>
        <w:spacing w:after="0" w:line="228" w:lineRule="exact"/>
        <w:rPr>
          <w:rFonts w:ascii="Symbol" w:cs="Symbol" w:eastAsia="Symbol" w:hAnsi="Symbol"/>
          <w:sz w:val="20"/>
          <w:szCs w:val="20"/>
          <w:color w:val="auto"/>
        </w:rPr>
      </w:pPr>
    </w:p>
    <w:p>
      <w:pPr>
        <w:ind w:left="360" w:hanging="353"/>
        <w:spacing w:after="0"/>
        <w:tabs>
          <w:tab w:leader="none" w:pos="36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formulating and manufacturing products; and</w:t>
      </w:r>
    </w:p>
    <w:p>
      <w:pPr>
        <w:spacing w:after="0" w:line="230" w:lineRule="exact"/>
        <w:rPr>
          <w:rFonts w:ascii="Symbol" w:cs="Symbol" w:eastAsia="Symbol" w:hAnsi="Symbol"/>
          <w:sz w:val="20"/>
          <w:szCs w:val="20"/>
          <w:color w:val="auto"/>
        </w:rPr>
      </w:pPr>
    </w:p>
    <w:p>
      <w:pPr>
        <w:ind w:left="360" w:hanging="353"/>
        <w:spacing w:after="0"/>
        <w:tabs>
          <w:tab w:leader="none" w:pos="36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conducting sales and marketing activities</w:t>
      </w:r>
    </w:p>
    <w:p>
      <w:pPr>
        <w:spacing w:after="0" w:line="21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While we have assembled a team with extensive experience in the discovery, development, and commercialization of oncology drugs to support our mission of developing novel synthetic lethality-based cancer therapeutics, we have limited experience designing, conducting and enrolling subjects in clinical trials. While certain members of our management and staff have significant experience in conducting clinical trials, to date, we have not completed any clinical trials as a company. Our operations to date provide a limited basis to assess our ability to develop and commercialize our product candidates. In addition, with the current pause on further patient enrollment in both once daily and twice daily monotherapy dosing arms of ABOYA-119 and the orderly wind-down of certain clinical trial site activities associated with the monotherapy arms as we explore ATTN-119 in potential combination approaches, we may be unable to advance development of ATRN-119 for monotherapy in a timely manner, if at all.</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700"/>
          </w:cols>
          <w:pgMar w:left="1080" w:top="1066" w:right="1100" w:bottom="542" w:gutter="0" w:footer="0" w:header="0"/>
          <w:type w:val="continuous"/>
        </w:sectPr>
      </w:pPr>
    </w:p>
    <w:bookmarkStart w:id="59" w:name="page60"/>
    <w:bookmarkEnd w:id="59"/>
    <w:p>
      <w:pPr>
        <w:ind w:right="160"/>
        <w:spacing w:after="0" w:line="247" w:lineRule="auto"/>
        <w:rPr>
          <w:sz w:val="20"/>
          <w:szCs w:val="20"/>
          <w:color w:val="auto"/>
        </w:rPr>
      </w:pPr>
      <w:r>
        <w:rPr>
          <w:rFonts w:ascii="Times New Roman" w:cs="Times New Roman" w:eastAsia="Times New Roman" w:hAnsi="Times New Roman"/>
          <w:sz w:val="20"/>
          <w:szCs w:val="20"/>
          <w:color w:val="auto"/>
        </w:rPr>
        <w:t>Because of this lack of experience, any future clinical trials we may conduct may not be completed on time, if at all. Large-scale trials require significant financial and management resources, monitoring and oversight, and may require reliance on third-party clinical investigators, consultants or contract research organizations, or CROs. Relying on third-party clinical investigators, CROs and manufacturers, which are all also subject to governmental oversight and regulations, may also cause us to encounter delays that are outside of our control. Failure to commence or complete, or delays in, clinical trials, could prevent us from or delay us in commercializing our product candidates.</w:t>
      </w:r>
    </w:p>
    <w:p>
      <w:pPr>
        <w:spacing w:after="0" w:line="19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find it difficult to enroll patients in our clinical trials. If we experience delays or difficulties in the enrollment of patients in clinical trials, our receipt of necessary marketing approvals could be delayed or prevented.</w:t>
      </w:r>
    </w:p>
    <w:p>
      <w:pPr>
        <w:spacing w:after="0" w:line="15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Patient enrollment is a significant factor in the timing of clinical trials and our ability to enroll eligible patients and maintain their enrollment may be limited or may result in slower enrollment than we anticipate.</w:t>
      </w:r>
    </w:p>
    <w:p>
      <w:pPr>
        <w:spacing w:after="0" w:line="18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205" w:lineRule="exact"/>
        <w:rPr>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size and nature of the patient population;</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availability and efficacy of approved drugs for the disease under investigation;</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 eligibility criteria for the trial in question;</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patients’ and clinicians’ perceived risks and benefits of the product candidate under study;</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competing clinical trials or compassionate use programs;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efforts to facilitate timely enrollment in clinical trials;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physicians’ attitudes and practices with respect to clinical trial enrollment;</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proximity and availability of clinical trial sites for prospective patients;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continued enrollment of prospective patients by clinical trial sites; and</w:t>
      </w:r>
    </w:p>
    <w:p>
      <w:pPr>
        <w:spacing w:after="0" w:line="239" w:lineRule="exact"/>
        <w:rPr>
          <w:rFonts w:ascii="Symbol" w:cs="Symbol" w:eastAsia="Symbol" w:hAnsi="Symbol"/>
          <w:sz w:val="20"/>
          <w:szCs w:val="20"/>
          <w:color w:val="auto"/>
        </w:rPr>
      </w:pPr>
    </w:p>
    <w:p>
      <w:pPr>
        <w:ind w:left="360" w:hanging="353"/>
        <w:spacing w:after="0" w:line="250" w:lineRule="auto"/>
        <w:tabs>
          <w:tab w:leader="none" w:pos="36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current pause on further patient enrollment in both once daily and twice daily monotherapy dosing arms of ABOYA-119 and the orderly wind-down of certain clinical trial site activities associated with the monotherapy arms as we explore ATTN-119 in potential combination approaches.</w:t>
      </w:r>
    </w:p>
    <w:p>
      <w:pPr>
        <w:spacing w:after="0" w:line="19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Our inability to enroll a sufficient number of patients for our clinical trials and maintain their enrollment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700"/>
          </w:cols>
          <w:pgMar w:left="1080" w:top="1066" w:right="1100" w:bottom="542" w:gutter="0" w:footer="0" w:header="0"/>
          <w:type w:val="continuous"/>
        </w:sectPr>
      </w:pPr>
    </w:p>
    <w:bookmarkStart w:id="60" w:name="page61"/>
    <w:bookmarkEnd w:id="60"/>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Leveraging synthetic lethality in therapeutic targeting of DDR represents an emerging strategy to treat a broad spectrum of cancers,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19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Aside from PARP inhibitors, such as Lynparza, Rubraca, Zejula and Talzenna, no synthetic lethality small molecule inhibitor therapeutics have been approved to date by the FDA. Pamiparib, a PARP inhibitor developed by Beigene, was approved in 2021 in China. Adverse events in future clinical trials of our product candidates or in clinical trials of other similar products and the resulting publicity, as well as any other adverse events in the field of synthetic lethality and DDR, or any adverse events involving other products that are perceived to be similar to DDR, such as those related to gene therapy or gene editing, could result in a decrease in the perceived benefit of one or more of our programs, increased regulatory scrutiny, decreased confidence by healthcare professionals, patients and CROs in our product candidates, difficulties and delays in regulatory clearance or approval for, enrollment of patients in, and conduct of, our clinical trials, and less demand for any product that we may develop. Our pipeline of product candidates could experience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product development programs, as well as our business as a whole.</w:t>
      </w:r>
    </w:p>
    <w:p>
      <w:pPr>
        <w:spacing w:after="0" w:line="20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In addition, responses by U.S. federal or foreign governments to adverse events or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23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serious adverse or unacceptable side effects are identified during the development of our product candidates or we observe limited efficacy of our product candidates, we may need to abandon or limit the development of one or more of our product candidates.</w:t>
      </w:r>
    </w:p>
    <w:p>
      <w:pPr>
        <w:spacing w:after="0" w:line="17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Adverse events or unacceptable side effects caused by, or other unexpected properties of, our product candidates could cause us, any future collaborators, an institutional review board, or IRB, ethics committee, or EC, or regulatory authorities to interrupt, delay or halt clinical trials of one or more of our product candidates and could result in the</w:t>
      </w:r>
    </w:p>
    <w:p>
      <w:pPr>
        <w:spacing w:after="0" w:line="2" w:lineRule="exact"/>
        <w:rPr>
          <w:sz w:val="20"/>
          <w:szCs w:val="20"/>
          <w:color w:val="auto"/>
        </w:rPr>
      </w:pPr>
    </w:p>
    <w:p>
      <w:pPr>
        <w:ind w:firstLine="7"/>
        <w:spacing w:after="0" w:line="249" w:lineRule="auto"/>
        <w:tabs>
          <w:tab w:leader="none" w:pos="2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 or denial of marketing approval by the FDA or comparable foreign regulatory authorities, (ii) approval with significant restrictions on distribution or use or (iii) required labeling information regarding safety concerns, if approved.</w:t>
      </w:r>
    </w:p>
    <w:p>
      <w:pPr>
        <w:spacing w:after="0" w:line="18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In general, our clinical trials of APR-1051 and ATRN-119 will or currently include cancer patients who are very sick and whose health is deteriorating. We expect that patients may experience adverse events, serious adverse events or may die during their participation in our current or future clinical trials for APR-1051 and ATRN-119 or other product candidates. We cannot predict with certainty what adverse events may occur in our clinical trials. Any adverse events, serious adverse events, or deaths occurring in our clinical trials, whether related to our product candidates or not, could affect perceptions relating to our product candidates. In addition, our previous clinical trials of eprenetapopt included cancer patients who were very sick and whose health was deteriorating, and we expect that additional clinical trials of eprenetapopt and our other product candidates would include similar patients with deteriorating health. Multiple patients in these trials have experienced adverse events. The most commonly reported adverse events include nausea, vomiting, constipation, dizziness, fatigue, and neutropenia. Some patients in these trials have experienced serious adverse events. The most common serious adverse events include febrile neutropenia, pneumonia, sepsis, and pyrexia.</w:t>
      </w:r>
    </w:p>
    <w:p>
      <w:pPr>
        <w:spacing w:after="0" w:line="20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addition, if any of our product candidates are associated with adverse events or undesirable side effects or have properties that are unexpected, our trials could be suspended or terminated and the FDA or comparable foreign regulatory authorities could order us to cease further development of or deny approval of our product candidates for any or all targeted indications. We, or any future collaborators, may abandon development or limit development of that product candidate to certain uses or subpopulations in which the undesirable side effects or other characteristics are less prevalent, less severe or more acceptable from a risk-benefit perspective. Drug-related side effects could affect patient</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700"/>
          </w:cols>
          <w:pgMar w:left="1080" w:top="1066" w:right="1100" w:bottom="542" w:gutter="0" w:footer="0" w:header="0"/>
          <w:type w:val="continuous"/>
        </w:sectPr>
      </w:pPr>
    </w:p>
    <w:bookmarkStart w:id="61" w:name="page62"/>
    <w:bookmarkEnd w:id="61"/>
    <w:p>
      <w:pPr>
        <w:ind w:right="220"/>
        <w:spacing w:after="0" w:line="278" w:lineRule="auto"/>
        <w:rPr>
          <w:sz w:val="20"/>
          <w:szCs w:val="20"/>
          <w:color w:val="auto"/>
        </w:rPr>
      </w:pPr>
      <w:r>
        <w:rPr>
          <w:rFonts w:ascii="Times New Roman" w:cs="Times New Roman" w:eastAsia="Times New Roman" w:hAnsi="Times New Roman"/>
          <w:sz w:val="20"/>
          <w:szCs w:val="20"/>
          <w:color w:val="auto"/>
        </w:rPr>
        <w:t>recruitment or the ability of enrolled patients to complete the trial or result in potential product liability claims. Any of these occurrences may harm our business, results of operations, financial condition and prospects significantly.</w:t>
      </w:r>
    </w:p>
    <w:p>
      <w:pPr>
        <w:spacing w:after="0" w:line="20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outcome of preclinical testing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w:t>
      </w:r>
    </w:p>
    <w:p>
      <w:pPr>
        <w:spacing w:after="0" w:line="17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We currently have no drugs approved for sale and we cannot guarantee that we will ever have marketable drugs. Clinical failure can occur at any stage of clinical development. Clinical trials may produce negative or inconclusive results, and we or any future collaborators may decide, or regulators may require us, to conduct additional clinical trials or preclinical studies. Additionally, with the current pause on further patient enrollment in both once daily and twice daily monotherapy dosing arms of ABOYA-119 and the orderly wind-down of certain clinical trial site activities associated with the monotherapy arms as we explore ATTN-119 in potential combination approaches, we may be unable to advance development of ATRN-119 for monotherapy in a timely manner, if at all. We will be required to demonstrate with substantial evidence through adequate and well-controlled clinical trials that our product candidates are safe and effective for use in treating specific conditions in order to obtain marketing approvals for their commercial sale. Success in preclinical studies and early-stage clinical trials does not mean that future larger registration clinical trials will be successful because product candidates in later-stage clinical trials may fail to demonstrate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later-stage clinical trials. Additionally, the outcome of preclinical studies and early-stage clinical trials may not be predictive of the success of later-stage clinical trials. Further, in our oncology clinical trials to date, we have used achievement of stable disease as evidence for disease control (stable disease, partial response or complete response) by our product candidates; however, the FDA does not view stable disease as an objective response for the purposes of FDA approval.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21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20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addition, the design of a clinical trial can determine whether its results will support approval of a drug and flaws in the design of a clinical trial may not become apparent until the clinical trial is well advanced. We have limited experience in designing clinical trials and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w:t>
      </w:r>
    </w:p>
    <w:p>
      <w:pPr>
        <w:spacing w:after="0" w:line="19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In addition, in the event that a safety issue, clinical hold, or other adverse finding occurs in one of our clinical trials, that event could adversely affect any other clinical trials for the same product candidate. Moreover, there is a relatively limited safety data set for product candidates with the same mechanism of action as APR-1051, ATRN-119 or our other product candidates. An adverse safety issue or other adverse finding in a clinical trial conducted by a third party with a</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700"/>
          </w:cols>
          <w:pgMar w:left="1080" w:top="1066" w:right="1100" w:bottom="542" w:gutter="0" w:footer="0" w:header="0"/>
          <w:type w:val="continuous"/>
        </w:sectPr>
      </w:pPr>
    </w:p>
    <w:bookmarkStart w:id="62" w:name="page63"/>
    <w:bookmarkEnd w:id="62"/>
    <w:p>
      <w:pPr>
        <w:ind w:right="100"/>
        <w:spacing w:after="0" w:line="278" w:lineRule="auto"/>
        <w:rPr>
          <w:sz w:val="20"/>
          <w:szCs w:val="20"/>
          <w:color w:val="auto"/>
        </w:rPr>
      </w:pPr>
      <w:r>
        <w:rPr>
          <w:rFonts w:ascii="Times New Roman" w:cs="Times New Roman" w:eastAsia="Times New Roman" w:hAnsi="Times New Roman"/>
          <w:sz w:val="20"/>
          <w:szCs w:val="20"/>
          <w:color w:val="auto"/>
        </w:rPr>
        <w:t>similar mechanism of action could adversely affect clinical trials involving APR-1051, ATRN-119 or our other product candidates.</w:t>
      </w:r>
    </w:p>
    <w:p>
      <w:pPr>
        <w:spacing w:after="0" w:line="168"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Further, our product candidates may not be approved even if they achieve their primary endpoints in clinical trials, including registration trials. The FDA or comparable foreign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comparable foreign regulatory authorities. In addition, any of these regulatory authorities may also approve a product candidate for fewer or more limited indications than we request or may grant approval contingent on the performance of costly post-marketing clinical trials. In addition, the FDA or other comparable foreign regulatory authorities may not approve the labeling claims that we believe would be necessary or desirable for the successful commercialization of our product candidates.</w:t>
      </w:r>
    </w:p>
    <w:p>
      <w:pPr>
        <w:spacing w:after="0" w:line="20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Before obtaining marketing approvals for the commercial sale of any product candidate for a target indication, we must demonstrate with substantial evidence gathered in preclinical studies and adequate and well-controlled clinical trials, and, with respect to approval in the United States, to the satisfaction of the FDA and elsewhere to the satisfaction of other comparable foreign regulatory authorities, that the product candidate is safe and effective for use for that target indication. There is no assurance that the FDA or other comparable foreign regulatory authorities will consider our future clinical trials to be sufficient to serve as the basis for approval of one of our product candidates for any indication. The FDA and other comparable foreign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23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Clinical 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A failure of one or more clinical trials can occur at any stage of testing. The outcome of preclinical studies and early-stage clinical trials may not be predictive of the success of later clinical trials, and interim results of a clinical trial do not necessarily predict final results. Additionally, with the current pause on further patient enrollment in both once daily and twice daily monotherapy dosing arms of ABOYA-119 and the orderly wind- down of certain clinical trial site activities associated with the monotherapy arms as we explore ATTN-119 in potential combination approaches, we may be unable to advance development of ATRN-119 for monotherapy in a timely manner, if at all.</w:t>
      </w:r>
    </w:p>
    <w:p>
      <w:pPr>
        <w:spacing w:after="0" w:line="19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7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We do not know whether ongoing clinical trials will be completed on schedule or at all, or whether future clinical trials will begin on time, need to be redesigned, enroll patients on time or be completed on schedule, if at all. Clinical trials can be delayed for a variety of reasons, including delays related to:</w:t>
      </w:r>
    </w:p>
    <w:p>
      <w:pPr>
        <w:spacing w:after="0" w:line="201" w:lineRule="exact"/>
        <w:rPr>
          <w:sz w:val="20"/>
          <w:szCs w:val="20"/>
          <w:color w:val="auto"/>
        </w:rPr>
      </w:pPr>
    </w:p>
    <w:p>
      <w:pPr>
        <w:ind w:left="360" w:hanging="353"/>
        <w:spacing w:after="0"/>
        <w:tabs>
          <w:tab w:leader="none" w:pos="36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regulatory authorization to commence a trial;</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680"/>
          </w:cols>
          <w:pgMar w:left="1080" w:top="1066" w:right="1120" w:bottom="542" w:gutter="0" w:footer="0" w:header="0"/>
          <w:type w:val="continuous"/>
        </w:sectPr>
      </w:pPr>
    </w:p>
    <w:bookmarkStart w:id="63" w:name="page64"/>
    <w:bookmarkEnd w:id="63"/>
    <w:p>
      <w:pPr>
        <w:ind w:left="360" w:hanging="353"/>
        <w:spacing w:after="0" w:line="251" w:lineRule="auto"/>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208"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institutional review board, or IRB, or ethics committee, or EC, approval at each clinical trial site;</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recruiting suitable patients to participate in a trial;</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any outbreak or pandemic on patient screening, patient enrollment, and follow-up;</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developing and validating any companion diagnostic to be used in the trial, to the extent we are required to do so;</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patients failing to comply with the clinical trial protocol or dropping out of a trial;</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trial sites failing to comply with the clinical trial protocol or dropping out of a trial;</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deviations from approved clinical trial protocols that may occur;</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addressing any conflicts with new or existing laws or regulations;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the need to add new clinical trial sites;</w:t>
      </w:r>
    </w:p>
    <w:p>
      <w:pPr>
        <w:spacing w:after="0" w:line="238" w:lineRule="exact"/>
        <w:rPr>
          <w:rFonts w:ascii="Symbol" w:cs="Symbol" w:eastAsia="Symbol" w:hAnsi="Symbol"/>
          <w:sz w:val="20"/>
          <w:szCs w:val="20"/>
          <w:color w:val="auto"/>
        </w:rPr>
      </w:pPr>
    </w:p>
    <w:p>
      <w:pPr>
        <w:ind w:left="360" w:right="160" w:hanging="353"/>
        <w:spacing w:after="0" w:line="262" w:lineRule="auto"/>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manufacturing sufficient quantities of product candidate for use in clinical trials and ensuring clinical trial material is provided to clinical sites in a timely manner; or</w:t>
      </w:r>
    </w:p>
    <w:p>
      <w:pPr>
        <w:spacing w:after="0" w:line="195" w:lineRule="exact"/>
        <w:rPr>
          <w:rFonts w:ascii="Symbol" w:cs="Symbol" w:eastAsia="Symbol" w:hAnsi="Symbol"/>
          <w:sz w:val="20"/>
          <w:szCs w:val="20"/>
          <w:color w:val="auto"/>
        </w:rPr>
      </w:pPr>
    </w:p>
    <w:p>
      <w:pPr>
        <w:ind w:left="360" w:right="80" w:hanging="353"/>
        <w:spacing w:after="0" w:line="262" w:lineRule="auto"/>
        <w:tabs>
          <w:tab w:leader="none" w:pos="36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advice from regulatory authorities regarding the statistical analysis plan to be used to evaluate the clinical trial data or other trial design issues.</w:t>
      </w:r>
    </w:p>
    <w:p>
      <w:pPr>
        <w:spacing w:after="0" w:line="18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auto"/>
        </w:rPr>
        <w:t>We may experience numerous unforeseen events during, or as a result of, clinical trials that could delay or prevent our ability to receive marketing approval or commercialize our product candidates, including:</w:t>
      </w:r>
    </w:p>
    <w:p>
      <w:pPr>
        <w:spacing w:after="0" w:line="182" w:lineRule="exact"/>
        <w:rPr>
          <w:sz w:val="20"/>
          <w:szCs w:val="20"/>
          <w:color w:val="auto"/>
        </w:rPr>
      </w:pPr>
    </w:p>
    <w:p>
      <w:pPr>
        <w:ind w:left="360" w:hanging="353"/>
        <w:spacing w:after="0"/>
        <w:tabs>
          <w:tab w:leader="none" w:pos="36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receive feedback from regulatory authorities that requires us to modify the design of our clinical trials;</w:t>
      </w:r>
    </w:p>
    <w:p>
      <w:pPr>
        <w:spacing w:after="0" w:line="238" w:lineRule="exact"/>
        <w:rPr>
          <w:rFonts w:ascii="Symbol" w:cs="Symbol" w:eastAsia="Symbol" w:hAnsi="Symbol"/>
          <w:sz w:val="20"/>
          <w:szCs w:val="20"/>
          <w:color w:val="auto"/>
        </w:rPr>
      </w:pPr>
    </w:p>
    <w:p>
      <w:pPr>
        <w:ind w:left="360" w:right="640" w:hanging="353"/>
        <w:spacing w:after="0" w:line="262" w:lineRule="auto"/>
        <w:tabs>
          <w:tab w:leader="none" w:pos="36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trials of our product candidates may produce negative or inconclusive results, and we may decide, or regulators may require us, to conduct additional clinical trials or abandon drug development programs;</w:t>
      </w:r>
    </w:p>
    <w:p>
      <w:pPr>
        <w:spacing w:after="0" w:line="196" w:lineRule="exact"/>
        <w:rPr>
          <w:rFonts w:ascii="Symbol" w:cs="Symbol" w:eastAsia="Symbol" w:hAnsi="Symbol"/>
          <w:sz w:val="20"/>
          <w:szCs w:val="20"/>
          <w:color w:val="auto"/>
        </w:rPr>
      </w:pPr>
    </w:p>
    <w:p>
      <w:pPr>
        <w:ind w:left="360" w:right="360" w:hanging="353"/>
        <w:spacing w:after="0" w:line="250" w:lineRule="auto"/>
        <w:tabs>
          <w:tab w:leader="none" w:pos="36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210" w:lineRule="exact"/>
        <w:rPr>
          <w:rFonts w:ascii="Symbol" w:cs="Symbol" w:eastAsia="Symbol" w:hAnsi="Symbol"/>
          <w:sz w:val="20"/>
          <w:szCs w:val="20"/>
          <w:color w:val="auto"/>
        </w:rPr>
      </w:pPr>
    </w:p>
    <w:p>
      <w:pPr>
        <w:ind w:left="360" w:right="460" w:hanging="352"/>
        <w:spacing w:after="0" w:line="262" w:lineRule="auto"/>
        <w:tabs>
          <w:tab w:leader="none" w:pos="36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our third-party contractors, including our CROs, may fail to comply with regulatory requirements or meet their contractual obligations to us in a timely manner, or at all;</w:t>
      </w:r>
    </w:p>
    <w:p>
      <w:pPr>
        <w:spacing w:after="0" w:line="195" w:lineRule="exact"/>
        <w:rPr>
          <w:rFonts w:ascii="Symbol" w:cs="Symbol" w:eastAsia="Symbol" w:hAnsi="Symbol"/>
          <w:sz w:val="20"/>
          <w:szCs w:val="20"/>
          <w:color w:val="auto"/>
        </w:rPr>
      </w:pPr>
    </w:p>
    <w:p>
      <w:pPr>
        <w:ind w:left="360" w:right="20" w:hanging="352"/>
        <w:spacing w:after="0" w:line="247" w:lineRule="auto"/>
        <w:tabs>
          <w:tab w:leader="none" w:pos="36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we, our investigators, or any of the overseeing IRBs or ethics committees might decide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212" w:lineRule="exact"/>
        <w:rPr>
          <w:rFonts w:ascii="Symbol" w:cs="Symbol" w:eastAsia="Symbol" w:hAnsi="Symbol"/>
          <w:sz w:val="20"/>
          <w:szCs w:val="20"/>
          <w:color w:val="auto"/>
        </w:rPr>
      </w:pPr>
    </w:p>
    <w:p>
      <w:pPr>
        <w:ind w:left="360" w:hanging="352"/>
        <w:spacing w:after="0"/>
        <w:tabs>
          <w:tab w:leader="none" w:pos="36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clinical trials of our product candidates may be greater than we anticipate;</w:t>
      </w:r>
    </w:p>
    <w:p>
      <w:pPr>
        <w:spacing w:after="0" w:line="238" w:lineRule="exact"/>
        <w:rPr>
          <w:rFonts w:ascii="Symbol" w:cs="Symbol" w:eastAsia="Symbol" w:hAnsi="Symbol"/>
          <w:sz w:val="20"/>
          <w:szCs w:val="20"/>
          <w:color w:val="auto"/>
        </w:rPr>
      </w:pPr>
    </w:p>
    <w:p>
      <w:pPr>
        <w:ind w:left="360" w:right="140" w:hanging="352"/>
        <w:spacing w:after="0" w:line="262" w:lineRule="auto"/>
        <w:tabs>
          <w:tab w:leader="none" w:pos="36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may be insufficient or inadequate;</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700"/>
          </w:cols>
          <w:pgMar w:left="1080" w:top="1081" w:right="1100" w:bottom="542" w:gutter="0" w:footer="0" w:header="0"/>
          <w:type w:val="continuous"/>
        </w:sectPr>
      </w:pPr>
    </w:p>
    <w:bookmarkStart w:id="64" w:name="page65"/>
    <w:bookmarkEnd w:id="64"/>
    <w:p>
      <w:pPr>
        <w:ind w:left="360" w:hanging="353"/>
        <w:spacing w:after="0" w:line="262" w:lineRule="auto"/>
        <w:tabs>
          <w:tab w:leader="none" w:pos="36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regulators may revise the requirements for approving our product candidates, or such requirements may not be as we anticipate; and</w:t>
      </w:r>
    </w:p>
    <w:p>
      <w:pPr>
        <w:spacing w:after="0" w:line="196" w:lineRule="exact"/>
        <w:rPr>
          <w:rFonts w:ascii="Symbol" w:cs="Symbol" w:eastAsia="Symbol" w:hAnsi="Symbol"/>
          <w:sz w:val="20"/>
          <w:szCs w:val="20"/>
          <w:color w:val="auto"/>
        </w:rPr>
      </w:pPr>
    </w:p>
    <w:p>
      <w:pPr>
        <w:ind w:left="360" w:right="140" w:hanging="353"/>
        <w:spacing w:after="0" w:line="262" w:lineRule="auto"/>
        <w:tabs>
          <w:tab w:leader="none" w:pos="36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any future collaborators that conduct clinical trials may face any of the above issues and may conduct clinical trials in ways they view as advantageous to them but that are suboptimal for us.</w:t>
      </w:r>
    </w:p>
    <w:p>
      <w:pPr>
        <w:spacing w:after="0" w:line="1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insufficiently positive to support marketing approval, or if there are safety concerns, we may:</w:t>
      </w:r>
    </w:p>
    <w:p>
      <w:pPr>
        <w:spacing w:after="0" w:line="209" w:lineRule="exact"/>
        <w:rPr>
          <w:sz w:val="20"/>
          <w:szCs w:val="20"/>
          <w:color w:val="auto"/>
        </w:rPr>
      </w:pPr>
    </w:p>
    <w:p>
      <w:pPr>
        <w:ind w:left="360" w:hanging="353"/>
        <w:spacing w:after="0"/>
        <w:tabs>
          <w:tab w:leader="none" w:pos="36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incur unplanned costs;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be delayed in obtaining marketing approval for our product candidates or not obtain marketing approval at all;</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marketing approval in some countries and not in others;</w:t>
      </w:r>
    </w:p>
    <w:p>
      <w:pPr>
        <w:spacing w:after="0" w:line="238" w:lineRule="exact"/>
        <w:rPr>
          <w:rFonts w:ascii="Symbol" w:cs="Symbol" w:eastAsia="Symbol" w:hAnsi="Symbol"/>
          <w:sz w:val="20"/>
          <w:szCs w:val="20"/>
          <w:color w:val="auto"/>
        </w:rPr>
      </w:pPr>
    </w:p>
    <w:p>
      <w:pPr>
        <w:ind w:left="360" w:right="420" w:hanging="353"/>
        <w:spacing w:after="0" w:line="262" w:lineRule="auto"/>
        <w:tabs>
          <w:tab w:leader="none" w:pos="36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marketing approval for indications or patient populations that are narrower or more limited in scope than intended or desired;</w:t>
      </w:r>
    </w:p>
    <w:p>
      <w:pPr>
        <w:spacing w:after="0" w:line="196" w:lineRule="exact"/>
        <w:rPr>
          <w:rFonts w:ascii="Symbol" w:cs="Symbol" w:eastAsia="Symbol" w:hAnsi="Symbol"/>
          <w:sz w:val="20"/>
          <w:szCs w:val="20"/>
          <w:color w:val="auto"/>
        </w:rPr>
      </w:pPr>
    </w:p>
    <w:p>
      <w:pPr>
        <w:ind w:left="360" w:right="700" w:hanging="353"/>
        <w:spacing w:after="0" w:line="262" w:lineRule="auto"/>
        <w:tabs>
          <w:tab w:leader="none" w:pos="36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marketing approval subject to significant use or distribution restrictions or with labeling that includes significant safety warnings, including boxed warnings;</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be subject to additional post-marketing testing requirements; or</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have the drug removed from the market after obtaining marketing approval.</w:t>
      </w:r>
    </w:p>
    <w:p>
      <w:pPr>
        <w:spacing w:after="0" w:line="22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Our drug development costs will also increase if we experience delays in testing or marketing approvals. We do not know whether clinical trials will begin as planned, will need to be restructured or will be completed on schedule, or at all. Furthermore, we rely on third -party CROs and clinical trial sites to ensure the proper and timely conduct of our clinical trials, and while we have agreements governing their committed activities, we have limited influence over their actual performance. Significant clinical trial delays also could shorten any periods during which we may have the exclusive right to commercialize our product candidates or allow our competitors to bring drugs to market before we do and impair our ability to successfully commercialize our product candidates and may harm our business and results of operations.</w:t>
      </w:r>
    </w:p>
    <w:p>
      <w:pPr>
        <w:spacing w:after="0" w:line="20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r>
        <w:rPr>
          <w:rFonts w:ascii="Times New Roman" w:cs="Times New Roman" w:eastAsia="Times New Roman" w:hAnsi="Times New Roman"/>
          <w:sz w:val="20"/>
          <w:szCs w:val="20"/>
          <w:b w:val="1"/>
          <w:bCs w:val="1"/>
          <w:i w:val="1"/>
          <w:iCs w:val="1"/>
          <w:color w:val="auto"/>
        </w:rPr>
        <w:t>.</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720"/>
          </w:cols>
          <w:pgMar w:left="1080" w:top="1081" w:right="1080" w:bottom="542" w:gutter="0" w:footer="0" w:header="0"/>
          <w:type w:val="continuous"/>
        </w:sectPr>
      </w:pPr>
    </w:p>
    <w:bookmarkStart w:id="65" w:name="page66"/>
    <w:bookmarkEnd w:id="65"/>
    <w:p>
      <w:pPr>
        <w:jc w:val="both"/>
        <w:ind w:right="3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required to in the future and if we are unable to successfully develop companion diagnostic tests for our product candidates that require such tests, or experience significant delays in doing so, we may not realize the full commercial potential of these product candidates.</w:t>
      </w:r>
    </w:p>
    <w:p>
      <w:pPr>
        <w:spacing w:after="0" w:line="21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may be required by the FDA to develop, either by ourselves or with collaborators, companion diagnostic tests for our product candidates for certain indications. To be successful,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and manufacture of companion diagnostic tests for our therapeutic product candidates that require such tests.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Any failure to successfully develop this companion diagnostic may cause or contribute to delayed enrollment of this trial, and may prevent us from initiating or completing further clinical trials to support marketing approval for our product candidates. As a result, our business, results of operations and financial condition could be materially harmed.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identify or discover additional potential product candidates.</w:t>
      </w:r>
    </w:p>
    <w:p>
      <w:pPr>
        <w:spacing w:after="0" w:line="23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color w:val="auto"/>
        </w:rPr>
        <w:t>Our research programs may initially show promise in identifying potential product candidates, yet fail to yield product candidates for clinical development for a number of reasons, including:</w:t>
      </w:r>
    </w:p>
    <w:p>
      <w:pPr>
        <w:spacing w:after="0" w:line="143" w:lineRule="exact"/>
        <w:rPr>
          <w:sz w:val="20"/>
          <w:szCs w:val="20"/>
          <w:color w:val="auto"/>
        </w:rPr>
      </w:pPr>
    </w:p>
    <w:p>
      <w:pPr>
        <w:ind w:left="360" w:hanging="353"/>
        <w:spacing w:after="0"/>
        <w:tabs>
          <w:tab w:leader="none" w:pos="36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research methodology used may not be successful in identifying potential product candidates;</w:t>
      </w:r>
    </w:p>
    <w:p>
      <w:pPr>
        <w:spacing w:after="0" w:line="198" w:lineRule="exact"/>
        <w:rPr>
          <w:rFonts w:ascii="Symbol" w:cs="Symbol" w:eastAsia="Symbol" w:hAnsi="Symbol"/>
          <w:sz w:val="20"/>
          <w:szCs w:val="20"/>
          <w:color w:val="auto"/>
        </w:rPr>
      </w:pPr>
    </w:p>
    <w:p>
      <w:pPr>
        <w:ind w:left="360" w:right="320" w:hanging="353"/>
        <w:spacing w:after="0" w:line="250" w:lineRule="auto"/>
        <w:tabs>
          <w:tab w:leader="none" w:pos="36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product candidates may, on further study, be shown to have harmful side effects or other characteristics that indicate that they are unlikely to be drugs that will receive marketing approval and/or achieve market acceptance; and</w:t>
      </w:r>
    </w:p>
    <w:p>
      <w:pPr>
        <w:spacing w:after="0" w:line="170" w:lineRule="exact"/>
        <w:rPr>
          <w:rFonts w:ascii="Symbol" w:cs="Symbol" w:eastAsia="Symbol" w:hAnsi="Symbol"/>
          <w:sz w:val="20"/>
          <w:szCs w:val="20"/>
          <w:color w:val="auto"/>
        </w:rPr>
      </w:pPr>
    </w:p>
    <w:p>
      <w:pPr>
        <w:ind w:left="360" w:hanging="353"/>
        <w:spacing w:after="0"/>
        <w:tabs>
          <w:tab w:leader="none" w:pos="36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product candidates may not be safe or effective in treating their targeted diseases.</w:t>
      </w:r>
    </w:p>
    <w:p>
      <w:pPr>
        <w:spacing w:after="0" w:line="18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Research programs to identify new product candidates require substantial technical, financial and human resources. If we are unable to identify suitable compounds for preclinical and clinical development, our business would be harmed.</w:t>
      </w:r>
    </w:p>
    <w:p>
      <w:pPr>
        <w:spacing w:after="0" w:line="206"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any of our product candidates receives marketing approval and we, or others, later discover that the drug is less safe or effective than previously believed or causes undesirable side effects that were not previously identified, our ability, or that of any future collaborators, to market the drug could be compromised.</w:t>
      </w:r>
    </w:p>
    <w:p>
      <w:pPr>
        <w:spacing w:after="0" w:line="17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Clinical trials of our product candidates must be conducted in carefully defined subsets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safe or effective than previously believed or causes undesirable side effects that were not previously identified, a number of potentially significant negative consequences could result, including:</w:t>
      </w:r>
    </w:p>
    <w:p>
      <w:pPr>
        <w:spacing w:after="0" w:line="174" w:lineRule="exact"/>
        <w:rPr>
          <w:sz w:val="20"/>
          <w:szCs w:val="20"/>
          <w:color w:val="auto"/>
        </w:rPr>
      </w:pPr>
    </w:p>
    <w:p>
      <w:pPr>
        <w:ind w:left="360" w:hanging="353"/>
        <w:spacing w:after="0"/>
        <w:tabs>
          <w:tab w:leader="none" w:pos="36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withdraw their approval of the drug or seize the drug;</w:t>
      </w:r>
    </w:p>
    <w:p>
      <w:pPr>
        <w:spacing w:after="0" w:line="198" w:lineRule="exact"/>
        <w:rPr>
          <w:rFonts w:ascii="Symbol" w:cs="Symbol" w:eastAsia="Symbol" w:hAnsi="Symbol"/>
          <w:sz w:val="20"/>
          <w:szCs w:val="20"/>
          <w:color w:val="auto"/>
        </w:rPr>
      </w:pPr>
    </w:p>
    <w:p>
      <w:pPr>
        <w:ind w:left="360" w:right="540" w:hanging="353"/>
        <w:spacing w:after="0" w:line="262" w:lineRule="auto"/>
        <w:tabs>
          <w:tab w:leader="none" w:pos="36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any future collaborators, may be required to recall the drug, change the way the drug is administered or conduct additional clinical trials;</w:t>
      </w:r>
    </w:p>
    <w:p>
      <w:pPr>
        <w:spacing w:after="0" w:line="157" w:lineRule="exact"/>
        <w:rPr>
          <w:rFonts w:ascii="Symbol" w:cs="Symbol" w:eastAsia="Symbol" w:hAnsi="Symbol"/>
          <w:sz w:val="20"/>
          <w:szCs w:val="20"/>
          <w:color w:val="auto"/>
        </w:rPr>
      </w:pPr>
    </w:p>
    <w:p>
      <w:pPr>
        <w:ind w:left="360" w:hanging="353"/>
        <w:spacing w:after="0"/>
        <w:tabs>
          <w:tab w:leader="none" w:pos="36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additional restrictions may be imposed on the marketing of, or the manufacturing processes for, the particular drug;</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subject to fines, injunctions or the imposition of civil or criminal penalties;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720"/>
          </w:cols>
          <w:pgMar w:left="1080" w:top="1066" w:right="1080" w:bottom="542" w:gutter="0" w:footer="0" w:header="0"/>
          <w:type w:val="continuous"/>
        </w:sectPr>
      </w:pPr>
    </w:p>
    <w:bookmarkStart w:id="66" w:name="page67"/>
    <w:bookmarkEnd w:id="66"/>
    <w:p>
      <w:pPr>
        <w:ind w:left="360" w:right="900" w:hanging="353"/>
        <w:spacing w:after="0" w:line="262" w:lineRule="auto"/>
        <w:tabs>
          <w:tab w:leader="none" w:pos="36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“black box” warning or a contraindication;</w:t>
      </w:r>
    </w:p>
    <w:p>
      <w:pPr>
        <w:spacing w:after="0" w:line="155" w:lineRule="exact"/>
        <w:rPr>
          <w:rFonts w:ascii="Symbol" w:cs="Symbol" w:eastAsia="Symbol" w:hAnsi="Symbol"/>
          <w:sz w:val="20"/>
          <w:szCs w:val="20"/>
          <w:color w:val="auto"/>
        </w:rPr>
      </w:pPr>
    </w:p>
    <w:p>
      <w:pPr>
        <w:ind w:left="360" w:right="200" w:hanging="353"/>
        <w:spacing w:after="0" w:line="262" w:lineRule="auto"/>
        <w:tabs>
          <w:tab w:leader="none" w:pos="36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any future collaborators, may be required to create a Medication Guide outlining the risks of the previously unidentified side effects for distribution to patients;</w:t>
      </w:r>
    </w:p>
    <w:p>
      <w:pPr>
        <w:spacing w:after="0" w:line="157" w:lineRule="exact"/>
        <w:rPr>
          <w:rFonts w:ascii="Symbol" w:cs="Symbol" w:eastAsia="Symbol" w:hAnsi="Symbol"/>
          <w:sz w:val="20"/>
          <w:szCs w:val="20"/>
          <w:color w:val="auto"/>
        </w:rPr>
      </w:pPr>
    </w:p>
    <w:p>
      <w:pPr>
        <w:ind w:left="360" w:hanging="353"/>
        <w:spacing w:after="0"/>
        <w:tabs>
          <w:tab w:leader="none" w:pos="36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any future collaborators, could be sued and held liable for harm caused to patients;</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drug may become less competitive in the marketplace; and</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reputation may suffer.</w:t>
      </w:r>
    </w:p>
    <w:p>
      <w:pPr>
        <w:spacing w:after="0" w:line="18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color w:val="auto"/>
        </w:rPr>
        <w:t>Any of these events could have a material and adverse effect on our operations and business and could adversely impact our stock price.</w:t>
      </w: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7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215" w:lineRule="exact"/>
        <w:rPr>
          <w:sz w:val="20"/>
          <w:szCs w:val="20"/>
          <w:color w:val="auto"/>
        </w:rPr>
      </w:pPr>
    </w:p>
    <w:p>
      <w:pPr>
        <w:ind w:left="360" w:hanging="353"/>
        <w:spacing w:after="0"/>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efficacy and safety of the product;</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potential advantages of the product compared to alternative therapies;</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98" w:lineRule="exact"/>
        <w:rPr>
          <w:rFonts w:ascii="Symbol" w:cs="Symbol" w:eastAsia="Symbol" w:hAnsi="Symbol"/>
          <w:sz w:val="20"/>
          <w:szCs w:val="20"/>
          <w:color w:val="auto"/>
        </w:rPr>
      </w:pPr>
    </w:p>
    <w:p>
      <w:pPr>
        <w:ind w:left="360" w:right="380" w:hanging="353"/>
        <w:spacing w:after="0" w:line="262" w:lineRule="auto"/>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the product is designated under physician and other provider treatment guidelines as a first-, second- or third-line therapy;</w:t>
      </w:r>
    </w:p>
    <w:p>
      <w:pPr>
        <w:spacing w:after="0" w:line="155" w:lineRule="exact"/>
        <w:rPr>
          <w:rFonts w:ascii="Symbol" w:cs="Symbol" w:eastAsia="Symbol" w:hAnsi="Symbol"/>
          <w:sz w:val="20"/>
          <w:szCs w:val="20"/>
          <w:color w:val="auto"/>
        </w:rPr>
      </w:pPr>
    </w:p>
    <w:p>
      <w:pPr>
        <w:ind w:left="360" w:hanging="353"/>
        <w:spacing w:after="0"/>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or the ability of any future collaborators, to offer the product for sale at competitive prices;</w:t>
      </w:r>
    </w:p>
    <w:p>
      <w:pPr>
        <w:spacing w:after="0" w:line="198" w:lineRule="exact"/>
        <w:rPr>
          <w:rFonts w:ascii="Symbol" w:cs="Symbol" w:eastAsia="Symbol" w:hAnsi="Symbol"/>
          <w:sz w:val="20"/>
          <w:szCs w:val="20"/>
          <w:color w:val="auto"/>
        </w:rPr>
      </w:pPr>
    </w:p>
    <w:p>
      <w:pPr>
        <w:ind w:left="360" w:right="820" w:hanging="353"/>
        <w:spacing w:after="0" w:line="262" w:lineRule="auto"/>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product’s convenience and ease of administration for patients and healthcare practitioners compared to alternative treatments;</w:t>
      </w:r>
    </w:p>
    <w:p>
      <w:pPr>
        <w:spacing w:after="0" w:line="157" w:lineRule="exact"/>
        <w:rPr>
          <w:rFonts w:ascii="Symbol" w:cs="Symbol" w:eastAsia="Symbol" w:hAnsi="Symbol"/>
          <w:sz w:val="20"/>
          <w:szCs w:val="20"/>
          <w:color w:val="auto"/>
        </w:rPr>
      </w:pPr>
    </w:p>
    <w:p>
      <w:pPr>
        <w:ind w:left="360" w:hanging="353"/>
        <w:spacing w:after="0"/>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willingness of the target patient population to try, and of physicians to prescribe, the product;</w:t>
      </w:r>
    </w:p>
    <w:p>
      <w:pPr>
        <w:spacing w:after="0" w:line="198" w:lineRule="exact"/>
        <w:rPr>
          <w:rFonts w:ascii="Symbol" w:cs="Symbol" w:eastAsia="Symbol" w:hAnsi="Symbol"/>
          <w:sz w:val="20"/>
          <w:szCs w:val="20"/>
          <w:color w:val="auto"/>
        </w:rPr>
      </w:pPr>
    </w:p>
    <w:p>
      <w:pPr>
        <w:ind w:left="360" w:right="180" w:hanging="353"/>
        <w:spacing w:after="0" w:line="262" w:lineRule="auto"/>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limitations or warnings, including distribution or use restrictions and safety information contained in the product’s approved labeling;</w:t>
      </w:r>
    </w:p>
    <w:p>
      <w:pPr>
        <w:spacing w:after="0" w:line="155" w:lineRule="exact"/>
        <w:rPr>
          <w:rFonts w:ascii="Symbol" w:cs="Symbol" w:eastAsia="Symbol" w:hAnsi="Symbol"/>
          <w:sz w:val="20"/>
          <w:szCs w:val="20"/>
          <w:color w:val="auto"/>
        </w:rPr>
      </w:pPr>
    </w:p>
    <w:p>
      <w:pPr>
        <w:ind w:left="360" w:hanging="353"/>
        <w:spacing w:after="0"/>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strength of sales, marketing and distribution support;</w:t>
      </w:r>
    </w:p>
    <w:p>
      <w:pPr>
        <w:spacing w:after="0" w:line="198" w:lineRule="exact"/>
        <w:rPr>
          <w:rFonts w:ascii="Symbol" w:cs="Symbol" w:eastAsia="Symbol" w:hAnsi="Symbol"/>
          <w:sz w:val="20"/>
          <w:szCs w:val="20"/>
          <w:color w:val="auto"/>
        </w:rPr>
      </w:pPr>
    </w:p>
    <w:p>
      <w:pPr>
        <w:ind w:left="360" w:hanging="352"/>
        <w:spacing w:after="0"/>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standard of care for the targeted indications for the product; and</w:t>
      </w:r>
    </w:p>
    <w:p>
      <w:pPr>
        <w:spacing w:after="0" w:line="198" w:lineRule="exact"/>
        <w:rPr>
          <w:rFonts w:ascii="Symbol" w:cs="Symbol" w:eastAsia="Symbol" w:hAnsi="Symbol"/>
          <w:sz w:val="20"/>
          <w:szCs w:val="20"/>
          <w:color w:val="auto"/>
        </w:rPr>
      </w:pPr>
    </w:p>
    <w:p>
      <w:pPr>
        <w:ind w:left="360" w:hanging="352"/>
        <w:spacing w:after="0" w:line="262" w:lineRule="auto"/>
        <w:tabs>
          <w:tab w:leader="none" w:pos="36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the availability of coverage by, and the amount of reimbursement from, government payors, managed care plans and other third-party payors.</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700"/>
          </w:cols>
          <w:pgMar w:left="1080" w:top="1081" w:right="1100" w:bottom="542" w:gutter="0" w:footer="0" w:header="0"/>
          <w:type w:val="continuous"/>
        </w:sectPr>
      </w:pPr>
    </w:p>
    <w:bookmarkStart w:id="67" w:name="page68"/>
    <w:bookmarkEnd w:id="67"/>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157"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The pharmaceutical and biotechnology industries generally, and the cancer drug sector specifically, are highly competitive and characterized by rapidly advancing technologies, evolving understanding of disease etiology and a strong emphasis on proprietary new drugs. We face competition with respect to APR-1051, ATRN-119 and our other product candidates, and will face competition with respect to any product candidates that we may seek to discover and develop or commercialize in the future, from major pharmaceutical, specialty pharmaceutical and biotechnology companies. There are a number of major pharmaceutical, specialty pharmaceutical and biotechnology companies that currently market and sell drugs or are pursuing the development of drugs for the treatment of cancer. Potential competitors also include academic institutions and governmental agencies and public and private research institutions.</w:t>
      </w:r>
    </w:p>
    <w:p>
      <w:pPr>
        <w:spacing w:after="0" w:line="20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There are a large number of companies developing or marketing treatments for cancer, including the indications for which we may develop product candidates. Many of the companies that we compete or may compete against in the future have significantly greater financial resources and expertise in research and development, manufacturing, preclinical testing, conducting clinical trials, obtaining regulatory approvals and marketing approved drugs than we do. Small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20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comparable foreign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20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There are a variety of available drug therapies marketed for cancer. In many cases, these drugs are administered in combination to enhance efficacy. Some of the currently-approved drug therapies are branded and subject to patent protection and may be established as the standard of care for treatment of indications for which we may choose to seek regulatory approvals. Many of these approved drugs are well-established therapies and are widely accepted by physicians, patients and third-party payors, and, even if our product candidates were to be approved, there can be no assurance that our product candidates would displace existing treatments. In addition to currently marketed therapies, there are also a number of drugs in late-stage clinical development to treat cancer, including the indications for which we are developing product candidates. These clinical-stage product candidates may provide efficacy, safety, tolerability, convenience and other benefits that are not provided by currently-marketed therapies. As a result, they may provide significant competition for any of our product candidates for which we obtain regulatory approval.</w:t>
      </w:r>
    </w:p>
    <w:p>
      <w:pPr>
        <w:spacing w:after="0" w:line="20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are developing APR-1051, which is an orally bioavailable small molecule inhibitor of WEE1, a key regulator of multiple phases of the cell cycle. We are aware of other product candidates that are in preclinical and clinical development for the treatment of various cancers through similar mechanisms of action, including product candidates developed by Zentalis Pharmaceuticals, Debiopharm, IMPACT Therapeutics, Schrodinger and Acrivon Therapeutics, among others. If APR-1051 were to be approved, it will compete with currently marketed drugs or drugs that may be approved for marketing by the FDA or comparable foreign regulatory authorities in the future and such competition will not be limited to drugs with similar mechanisms of action.</w:t>
      </w:r>
    </w:p>
    <w:p>
      <w:pPr>
        <w:spacing w:after="0" w:line="19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are also developing ATRN-119 which is an orally bioavailable small molecule product candidate that targets Ataxia ATR protein within the DNA damage response pathway. We are aware of other product candidates that are in clinical development for the treatment of various cancers through similar mechanisms of action, including product candidates in clinical development being tested by Artios Pharma Ltd., AstraZeneca Plc, Bayer AG, IMPACT Therapeutics, Inc., and Xeno Therapeutics (formerly Repare Therapeutics, Inc.), among others. If ATRN-119 were to be approved, it will</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700"/>
          </w:cols>
          <w:pgMar w:left="1080" w:top="1066" w:right="1100" w:bottom="542" w:gutter="0" w:footer="0" w:header="0"/>
          <w:type w:val="continuous"/>
        </w:sectPr>
      </w:pPr>
    </w:p>
    <w:bookmarkStart w:id="68" w:name="page69"/>
    <w:bookmarkEnd w:id="68"/>
    <w:p>
      <w:pPr>
        <w:ind w:right="100"/>
        <w:spacing w:after="0" w:line="247" w:lineRule="auto"/>
        <w:rPr>
          <w:sz w:val="20"/>
          <w:szCs w:val="20"/>
          <w:color w:val="auto"/>
        </w:rPr>
      </w:pPr>
      <w:r>
        <w:rPr>
          <w:rFonts w:ascii="Times New Roman" w:cs="Times New Roman" w:eastAsia="Times New Roman" w:hAnsi="Times New Roman"/>
          <w:sz w:val="20"/>
          <w:szCs w:val="20"/>
          <w:color w:val="auto"/>
        </w:rPr>
        <w:t>compete with currently marketed drugs or drugs that may be approved for marketing by the FDA or comparable foreign regulatory authorities in the future and such competition will not be limited to drugs with similar mechanisms of action. With the current pause on further patient enrollment in both once daily and twice daily monotherapy dosing arms of ABOYA-119 and the orderly wind -down of certain clinical trial site activities associated with the monotherapy arms as we explore ATTN-119 in potential combination approaches, we may be unable to advance development of ATRN-119 for monotherapy in a timely manner, if at all.</w:t>
      </w:r>
    </w:p>
    <w:p>
      <w:pPr>
        <w:spacing w:after="0" w:line="23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would suffer in the event of IT system failures, cybersecurity attacks, data breaches, or vulnerabilities in our or our third-party vendors’ information security program or defenses.</w:t>
      </w:r>
    </w:p>
    <w:p>
      <w:pPr>
        <w:spacing w:after="0" w:line="15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Our business relies upon information technology systems operated by us and by our third party service providers. These systems may fail or experience operational disruption, experience cybersecurity attacks, or be damaged by computer viruses and unauthorized access.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have developed, and continue to mature our policies and procedures to ensure the security and integrity of our information technology systems and confidential and proprietary information. If we do not continue to mature our cybersecurity defensive technological safeguards, policies and procedures or those safeguards, policies and procedures are insufficient to ensure the protection of our information technology systems and confidential and proprietary information, we may be vulnerable to security breaches or disruptions and system breakdowns or other damage or interruptions, and face legal and reputational risk. We also have outsourced elements of our operations to third parties, and as a result we manage a number of third-party vendors and other contractors and consultants who have access to or store our confidential information. While we endeavor to select providers with reasonable and industry standard information security programs, we are reliant on these third-party vendors’ commitments regarding their information technology systems and cybersecurity programs.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and the further development and commercialization of our product candidates could be delayed. While we have not, to our knowledge, experienced any material IT system failures or cybersecurity attacks to date, we frequently must defend against and respond to cybersecurity incidents and attacks and cannot assure you that our data protection efforts and our investment in information technology will prevent significant breakdowns, data leakages, compromises of personal information or confidential commercial information, other operationally significant breaches in our systems or those of our third-party vendors and other contractors and consultants, or other cyber incidents that could have a material adverse effect upon our reputation, business, operations or financial condition. If such an event were to occur and cause interruptions in our operations, it could result in a material disruption of our development programs, business operations, a breach of sensitive personal information or a loss or corruption of critical data assets including trade secrets or other proprietary information. For example, the loss of clinical trial data from future clinical trials could result in delays in our regulatory approval efforts and significantly increase our costs to recover or reproduce the data. Such IT system failures, cybersecurity attacks or vulnerabilities to our or our third-party vendors’ information security programs or defenses could result in legal liability, reputational damage, business interruption, and our competitive position could be harmed and the further development and commercialization of our products or any future products could be delayed or disrupted. Moreover, containing and remediating any IT system failure, cybersecurity attack or vulnerability may require significant investment of resources. Furthermore, significant security breaches or disruptions of our internal information technology systems or those of our third-party vendors and other contractors and consultants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w:t>
      </w:r>
    </w:p>
    <w:p>
      <w:pPr>
        <w:spacing w:after="0" w:line="235"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in the future, we are unable to establish sales and marketing capabilities or enter into agreements with third parties to sell and market our product candidates, we may not be successful in commercializing our product candidates if and when they are approved.</w:t>
      </w:r>
    </w:p>
    <w:p>
      <w:pPr>
        <w:spacing w:after="0" w:line="17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rPr>
        <w:t>We do not have a sales or marketing infrastructure and have no experience in the sale or marketing of pharmaceutical drugs. We are not currently a party to a strategic collaboration that provides us with access to a collaborator’s resources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700"/>
          </w:cols>
          <w:pgMar w:left="1080" w:top="1066" w:right="1100" w:bottom="542" w:gutter="0" w:footer="0" w:header="0"/>
          <w:type w:val="continuous"/>
        </w:sectPr>
      </w:pPr>
    </w:p>
    <w:bookmarkStart w:id="69" w:name="page70"/>
    <w:bookmarkEnd w:id="69"/>
    <w:p>
      <w:pPr>
        <w:ind w:right="140"/>
        <w:spacing w:after="0" w:line="249" w:lineRule="auto"/>
        <w:rPr>
          <w:sz w:val="20"/>
          <w:szCs w:val="20"/>
          <w:color w:val="auto"/>
        </w:rPr>
      </w:pPr>
      <w:r>
        <w:rPr>
          <w:rFonts w:ascii="Times New Roman" w:cs="Times New Roman" w:eastAsia="Times New Roman" w:hAnsi="Times New Roman"/>
          <w:sz w:val="20"/>
          <w:szCs w:val="20"/>
          <w:color w:val="auto"/>
        </w:rPr>
        <w:t>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19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that may inhibit our efforts to commercialize our product candidates on our own include:</w:t>
      </w:r>
    </w:p>
    <w:p>
      <w:pPr>
        <w:spacing w:after="0" w:line="255" w:lineRule="exact"/>
        <w:rPr>
          <w:sz w:val="20"/>
          <w:szCs w:val="20"/>
          <w:color w:val="auto"/>
        </w:rPr>
      </w:pPr>
    </w:p>
    <w:p>
      <w:pPr>
        <w:ind w:left="360" w:hanging="353"/>
        <w:spacing w:after="0"/>
        <w:tabs>
          <w:tab w:leader="none" w:pos="36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our inability to recruit and retain adequate numbers of effective sales and marketing personnel;</w:t>
      </w:r>
    </w:p>
    <w:p>
      <w:pPr>
        <w:spacing w:after="0" w:line="238" w:lineRule="exact"/>
        <w:rPr>
          <w:rFonts w:ascii="Symbol" w:cs="Symbol" w:eastAsia="Symbol" w:hAnsi="Symbol"/>
          <w:sz w:val="20"/>
          <w:szCs w:val="20"/>
          <w:color w:val="auto"/>
        </w:rPr>
      </w:pPr>
    </w:p>
    <w:p>
      <w:pPr>
        <w:ind w:left="360" w:right="100" w:hanging="353"/>
        <w:spacing w:after="0" w:line="262" w:lineRule="auto"/>
        <w:tabs>
          <w:tab w:leader="none" w:pos="36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limitations or restrictions on the ability of sales personnel to appropriately market the product to physicians or other healthcare professionals;</w:t>
      </w:r>
    </w:p>
    <w:p>
      <w:pPr>
        <w:spacing w:after="0" w:line="195" w:lineRule="exact"/>
        <w:rPr>
          <w:rFonts w:ascii="Symbol" w:cs="Symbol" w:eastAsia="Symbol" w:hAnsi="Symbol"/>
          <w:sz w:val="20"/>
          <w:szCs w:val="20"/>
          <w:color w:val="auto"/>
        </w:rPr>
      </w:pPr>
    </w:p>
    <w:p>
      <w:pPr>
        <w:ind w:left="360" w:right="200" w:hanging="353"/>
        <w:spacing w:after="0" w:line="262" w:lineRule="auto"/>
        <w:tabs>
          <w:tab w:leader="none" w:pos="36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the lack of complementary drugs to be offered by sales personnel, which may put us at a competitive disadvantage relative to companies with more extensive product lines;</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 and</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inability to obtain sufficient coverage and reimbursement from third-party payors and governmental agencies.</w:t>
      </w:r>
    </w:p>
    <w:p>
      <w:pPr>
        <w:spacing w:after="0" w:line="22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Third parties may also fail to devote the necessary resources and attention to sell and market our product candidates effectively and we may not have sufficient control or oversight over third parties to ensure they sell and market our product candidates in compliance with all applicable law. If we do not establish sales and marketing capabilities successfully, either on our own or in collaboration with third parties, we will not be successful in commercializing our product candidates.</w:t>
      </w:r>
    </w:p>
    <w:p>
      <w:pPr>
        <w:spacing w:after="0" w:line="2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the FDA or comparable foreign regulatory authorities approve generic versions of any of our product candidates that receive marketing approval, or such authorities do not grant our product candidates appropriate periods of data or market exclusivity before approving generic versions of our product candidates, the sales of our product candidates could be adversely affected.</w:t>
      </w:r>
    </w:p>
    <w:p>
      <w:pPr>
        <w:spacing w:after="0" w:line="18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Once an NDA is approved, the drug covered thereby becomes a “reference-listed drug” in the FDA’s publication, “Approved Drug Products with Therapeutic Equivalence Evaluations,” known as the “Orange Book.” Manufacturers may seek marketing approval of generic versions of reference- listed drugs through submission of abbreviated new drug applications, or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720"/>
          </w:cols>
          <w:pgMar w:left="1080" w:top="1066" w:right="1080" w:bottom="542" w:gutter="0" w:footer="0" w:header="0"/>
          <w:type w:val="continuous"/>
        </w:sectPr>
      </w:pPr>
    </w:p>
    <w:bookmarkStart w:id="70" w:name="page71"/>
    <w:bookmarkEnd w:id="70"/>
    <w:p>
      <w:pPr>
        <w:ind w:right="260"/>
        <w:spacing w:after="0" w:line="278" w:lineRule="auto"/>
        <w:rPr>
          <w:sz w:val="20"/>
          <w:szCs w:val="20"/>
          <w:color w:val="auto"/>
        </w:rPr>
      </w:pPr>
      <w:r>
        <w:rPr>
          <w:rFonts w:ascii="Times New Roman" w:cs="Times New Roman" w:eastAsia="Times New Roman" w:hAnsi="Times New Roman"/>
          <w:sz w:val="20"/>
          <w:szCs w:val="20"/>
          <w:color w:val="auto"/>
        </w:rPr>
        <w:t>drugs are generally able to offer them at lower prices. Thus, following the introduction of a generic drug, a significant percentage of the sales of any branded product or reference-listed drug is typically lost to the generic drug.</w:t>
      </w:r>
    </w:p>
    <w:p>
      <w:pPr>
        <w:spacing w:after="0" w:line="16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FDA may not approve an ANDA for a generic drug until any applicable period of non-patent regulatory exclusivity for the reference-listed drug has expired. The Federal Food, Drug, and Cosmetic Act, or FDCA, provides a period of five years of data exclusivity for a new drug containing a new chemical entity, or NCE. During the data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product candidate. This three-year marketing exclusivity covers only the conditions associated with the new clinical investigations and does not prohibit the FDA from approving ANDAs for product candidates containing the original active agent for other conditions of use. Five-year data exclusivity and three-year marketing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 competition that our product candidates may face from generic versions of our product candidates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 candidates, if and when approved, are not afforded the appropriate periods of non-patent exclusivity.</w:t>
      </w:r>
    </w:p>
    <w:p>
      <w:pPr>
        <w:spacing w:after="0" w:line="2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of any product candidate, the approved product may be subject to post-approval studies and will remain subject to ongoing regulatory requirements. If we fail to comply, or if concerns are identified in subsequent studies, our approval could be withdrawn, and our product sales could be suspended.</w:t>
      </w:r>
    </w:p>
    <w:p>
      <w:pPr>
        <w:spacing w:after="0" w:line="17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If we are successful at obtaining regulatory approval for APR-1051, ATRN-119, or any of our other product candidates, regulatory agencies in the United States and other countries where a product will be sold may require extensive additional clinical trials or post-approval clinical trials that are expensive and time-consuming to conduct. With the current pause on further patient enrollment in both once daily and twice daily monotherapy dosing arms of ABOYA-119 and the orderly wind-down of certain clinical trial site activities associated with the monotherapy arms as we explore ATTN-119 in potential combination approaches, we may be unable to advance development of ATRN-119 for monotherapy in a timely manner, if at all. These trials may reveal side effects or other harmful effects in patients that use our products after they are on the market, which may result in the limitation or withdrawal of our drugs from the market. Alternatively, we may not be able to conduct such additional trials, which might force us to abandon our efforts to develop or commercialize certain product candidates. Even if post-approval studies are not requested or required, after our products are approved and on the market, there might be safety issues that emerge over time that require a change in product labeling, additional post-market studies or clinical trials, imposition of distribution and use restrictions under a Risk Evaluation and Mitigation Strategy, or REMS, or withdrawal of the product from the market, which would cause our revenue to decline.</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Additionally, any products that we may successfully develop will be subject to ongoing regulatory requirements after they are approved. These requirements will govern the manufacturing, packaging, marketing, distribution, and use of our products. If we fail to comply with such regulatory requirements, approval for our products may be withdrawn, and product sales may be suspended. We may not be able to regain compliance, or we may only be able to regain compliance after a lengthy delay, significant expense, lost revenues and damage to our reputation.</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700"/>
          </w:cols>
          <w:pgMar w:left="1080" w:top="1066" w:right="1100" w:bottom="542" w:gutter="0" w:footer="0" w:header="0"/>
          <w:type w:val="continuous"/>
        </w:sectPr>
      </w:pPr>
    </w:p>
    <w:bookmarkStart w:id="71" w:name="page72"/>
    <w:bookmarkEnd w:id="71"/>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commercialize any product candidate, such product candidate may become subject to unfavorable pricing regulations, third-party coverage and reimbursement policies or healthcare reform initiatives, which could harm our business.</w:t>
      </w:r>
    </w:p>
    <w:p>
      <w:pPr>
        <w:spacing w:after="0" w:line="1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regulations that govern marketing approval, pricing, coverage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20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Our ability to commercialize any products successfully also will depend in part on the extent to which reimbursement and coverage for these products and related treatments will be available from government authorities, private health insurers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primary trend in the healthcare industry in the United States and elsewhere is cost containment. Government authorities and third-party payors have attempted to control costs by limiting coverage and the amount of reimbursement for particular medications.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medical products. We cannot be sure that coverage and reimbursement will be available for any drug that we commercialize and, if coverage and reimbursement are available, we cannot be sure as to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202"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There may be significant delays in obtaining reimbursement for newly approved drugs, and coverage may be more limited than the purposes for which the drug is approved by the FDA or comparable foreign regulatory authorities. Moreover, eligibility for reimbursement does not imply that any drug will be reimbursed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may be incorporated into existing payments for other items or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Our inability to promptly obtain coverage and adequate reimbursement rates from both government-funded and private payors for new products that we develop and for which we obtain marketing approval could have a material adverse effect on our operating results, our ability to raise capital needed to commercialize products and our overall financial condition.</w:t>
      </w:r>
    </w:p>
    <w:p>
      <w:pPr>
        <w:spacing w:after="0" w:line="25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to limit commercialization of any drugs that we may develop. Our insurance policies may be inadequate and may potentially expose us to unrecoverable risk.</w:t>
      </w:r>
    </w:p>
    <w:p>
      <w:pPr>
        <w:spacing w:after="0" w:line="17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of our product candidates in clinical trials and will face an even greater risk if we commercially sell any drugs that we may develop. If we cannot successfully defend</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700"/>
          </w:cols>
          <w:pgMar w:left="1080" w:top="1066" w:right="1100" w:bottom="542"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ourselves against claims that our product candidates or drugs caused injuries, we will incur substantial 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Regardless of merit or eventual outcome, liability claims may result in:</w:t>
      </w:r>
    </w:p>
    <w:p>
      <w:pPr>
        <w:spacing w:after="0" w:line="227" w:lineRule="exact"/>
        <w:rPr>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decreased demand for any product candidates or drugs that we may develop;</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significant costs to defend the related litigation;</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loss of revenue;</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reduced resources of our management to pursue our business strategy; and</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inability to commercialize any drugs that we may develop.</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currently hold clinical trial liability insurance coverage for up to $5.0 million, but that coverage may not be adequate to cover any and all liabilities that we may incur. We would need to increase our insurance coverage when we begin the commercialization of our product candidates, if ever. Insurance coverage is increasingly expensive. We may not be able to maintain insurance coverage at a reasonable cost or in an amount adequate to satisfy any liability that may arise.</w:t>
      </w:r>
    </w:p>
    <w:p>
      <w:pPr>
        <w:spacing w:after="0" w:line="193"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Governments outside of the United States tend to impose strict price controls, which may adversely affect our revenues from the sales of our products, if any.</w:t>
      </w:r>
    </w:p>
    <w:p>
      <w:pPr>
        <w:spacing w:after="0" w:line="16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some countries, particularly member states of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could be materially harmed.</w:t>
      </w:r>
    </w:p>
    <w:p>
      <w:pPr>
        <w:spacing w:after="0" w:line="24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reactivation of p53 is a novel and unproven therapeutic approach and our development of eprenetapopt may never lead to a marketable product.</w:t>
      </w:r>
    </w:p>
    <w:p>
      <w:pPr>
        <w:spacing w:after="0" w:line="15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We believe that mutant p53 still has the potential to be an attractive target for novel cancer therapy due to the high incidence of p53 mutations across a range of cancer types and the universally inferior prognosis for cancer patients with mutated p53. However, to our knowledge, no one has advanced a product candidate with this mechanism of action into the market. The scientific evidence to support the feasibility of developing these product candidates is both preliminary and limited. For instance, even though eprenetapopt has shown promising results in preclinical studies and early-stage clinical trials, we may not succeed in demonstrating safety and efficacy of eprenetapopt in larger-scale clinical trials. In December 2020, we announced that our pivotal Phase 3 trial failed to meet its predefined primary endpoint of complete remission (CR) rate. On August 4, 2021, the U.S. Food and Drug Administration (FDA) placed a partial clinical hold on the clinical trials of eprenetapopt in combination with azacitidine in our myeloid malignancy programs. On August 11,</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680"/>
          </w:cols>
          <w:pgMar w:left="1080" w:top="1066" w:right="1120" w:bottom="542" w:gutter="0" w:footer="0" w:header="0"/>
          <w:type w:val="continuous"/>
        </w:sectPr>
      </w:pPr>
    </w:p>
    <w:bookmarkStart w:id="73" w:name="page74"/>
    <w:bookmarkEnd w:id="73"/>
    <w:p>
      <w:pPr>
        <w:ind w:right="160"/>
        <w:spacing w:after="0" w:line="252" w:lineRule="auto"/>
        <w:rPr>
          <w:sz w:val="20"/>
          <w:szCs w:val="20"/>
          <w:color w:val="auto"/>
        </w:rPr>
      </w:pPr>
      <w:r>
        <w:rPr>
          <w:rFonts w:ascii="Times New Roman" w:cs="Times New Roman" w:eastAsia="Times New Roman" w:hAnsi="Times New Roman"/>
          <w:sz w:val="20"/>
          <w:szCs w:val="20"/>
          <w:color w:val="auto"/>
        </w:rPr>
        <w:t>2021, the FDA placed a clinical hold on our clinical trial evaluating eprenetapopt with acalabrutinib or with venetoclax and rituximab in lymphoid malignancies. In the first quarter of 2022, FDA notified us that it would continue the partial clinical hold on three ongoing clinical studies in our myeloid program. However, we received clearance from FDA to proceed under our existing IND with a new trial in R/R MDS and AML.</w:t>
      </w:r>
    </w:p>
    <w:p>
      <w:pPr>
        <w:spacing w:after="0" w:line="185"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auto"/>
        </w:rPr>
        <w:t>Given these results, FDA feedback and the costs of continuing the p53 reactivator development programs, we have shifted our primary focus of our activities to the discovery and development of molecules targeting DDR pathways in oncology through synthetic lethality. Advancing eprenetapopt as a novel product to reactivate p53 creates significant challenges for us, including:</w:t>
      </w:r>
    </w:p>
    <w:p>
      <w:pPr>
        <w:spacing w:after="0" w:line="198" w:lineRule="exact"/>
        <w:rPr>
          <w:sz w:val="20"/>
          <w:szCs w:val="20"/>
          <w:color w:val="auto"/>
        </w:rPr>
      </w:pPr>
    </w:p>
    <w:p>
      <w:pPr>
        <w:ind w:left="360" w:right="280" w:hanging="353"/>
        <w:spacing w:after="0" w:line="262" w:lineRule="auto"/>
        <w:tabs>
          <w:tab w:leader="none" w:pos="36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marketing approval, as obtaining regulatory approval of a p53 reactivator from the FDA or comparable foreign regulatory authorities has never been done before;</w:t>
      </w:r>
    </w:p>
    <w:p>
      <w:pPr>
        <w:spacing w:after="0" w:line="195" w:lineRule="exact"/>
        <w:rPr>
          <w:rFonts w:ascii="Symbol" w:cs="Symbol" w:eastAsia="Symbol" w:hAnsi="Symbol"/>
          <w:sz w:val="20"/>
          <w:szCs w:val="20"/>
          <w:color w:val="auto"/>
        </w:rPr>
      </w:pPr>
    </w:p>
    <w:p>
      <w:pPr>
        <w:ind w:left="360" w:right="600" w:hanging="353"/>
        <w:spacing w:after="0" w:line="262" w:lineRule="auto"/>
        <w:tabs>
          <w:tab w:leader="none" w:pos="36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educating medical personnel regarding the potential efficacy and safety benefits, as well as the challenges, of incorporating our product candidates, if approved, into treatment regimens;</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strengthening and extending the duration of the IP protection of the p53 reactivator; and</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establishing the sale and marketing capabilities to gain market acceptance, if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73"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clinical trials and some aspects of our research and preclinical studies, and those third parties may not perform satisfactorily, including failing to conduct their operations in compliance with regulatory requirements or to meet deadlines for the completion of such trials, research and studies.</w:t>
      </w:r>
    </w:p>
    <w:p>
      <w:pPr>
        <w:spacing w:after="0" w:line="17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currently rely on third parties, such as CROs, clinical data management organizations, medical institutions and clinical investigators, to conduct our clinical trials and expect to continue to rely upon third parties to conduct additional clinical trials. We currently rely and expect to continue to rely on third parties to conduct some aspects of our research and preclinical studies. Any of these third parties may terminate their engagements with us at any time. If we need to enter into alternative arrangements, it would delay our drug development activities.</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Our reliance on these third parties for research and development activities will reduce our control over these activities but will not relieve us of our regulatory responsibilities. For example, we will remain responsible for ensuring that each of our clinical trials is conducted in accordance with the general investigational plan, study protocols for the trial, statistical analysis plan and other study-specific documents (for example, monitoring and blinding plans). Moreover, the FDA requires us to comply with standards, commonly referred to as GCP, International Council for Harmonization of Technical Requirements for Pharmaceuticals for Human Use, or ICH, guidelines, and regulations regarding the informed consent process, safety reporting requirements, data collection guidelines, and other regulations for conducting, recording and reporting the results of clinical trials to assure that data and reported results are credible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and other applicable regulations. In addition, our clinical trials must be conducted with product produced under current Good Manufacturing Practices, or cGMP, regulations. Our failure to comply with these regulations may require us to conduct new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700"/>
          </w:cols>
          <w:pgMar w:left="1080" w:top="1066" w:right="1100" w:bottom="542" w:gutter="0" w:footer="0" w:header="0"/>
          <w:type w:val="continuous"/>
        </w:sectPr>
      </w:pPr>
    </w:p>
    <w:bookmarkStart w:id="74" w:name="page75"/>
    <w:bookmarkEnd w:id="74"/>
    <w:p>
      <w:pPr>
        <w:spacing w:after="0" w:line="249" w:lineRule="auto"/>
        <w:rPr>
          <w:sz w:val="20"/>
          <w:szCs w:val="20"/>
          <w:color w:val="auto"/>
        </w:rPr>
      </w:pPr>
      <w:r>
        <w:rPr>
          <w:rFonts w:ascii="Times New Roman" w:cs="Times New Roman" w:eastAsia="Times New Roman" w:hAnsi="Times New Roman"/>
          <w:sz w:val="20"/>
          <w:szCs w:val="20"/>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also expect to rely on other third parties to store and distribute drug supplies for our clinical trials. Any performance failure on the part of such third parties could delay clinical development or marketing approval of our product candidates or commercialization of our product candidates, producing additional losses and depriving us of potential revenue from sales of drugs.</w:t>
      </w:r>
    </w:p>
    <w:p>
      <w:pPr>
        <w:spacing w:after="0" w:line="193"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Although we currently plan to retain all commercial rights to our product candidates, we may enter into strategic collaborations for the development, marketing and commercialization of our product candidates. If those collaborations are not successful, the development, marketing and/or commercialization of our product candidates that are the subject of such collaborations would be harmed.</w:t>
      </w:r>
    </w:p>
    <w:p>
      <w:pPr>
        <w:spacing w:after="0" w:line="18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As we further develop our product candidates, we may build a commercial infrastructure with the capability to directly market it to a variety of markets and geographies. Although we currently plan to retain all commercial rights to our product candidates, we may enter into strategic collaborations for the development, marketing and commercialization of our product candidates.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Collaborations involving our product candidates would pose the following risks to us:</w:t>
      </w:r>
    </w:p>
    <w:p>
      <w:pPr>
        <w:spacing w:after="0" w:line="254" w:lineRule="exact"/>
        <w:rPr>
          <w:sz w:val="20"/>
          <w:szCs w:val="20"/>
          <w:color w:val="auto"/>
        </w:rPr>
      </w:pPr>
    </w:p>
    <w:p>
      <w:pPr>
        <w:ind w:left="720" w:right="280" w:hanging="353"/>
        <w:spacing w:after="0" w:line="262"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these collaborations;</w:t>
      </w:r>
    </w:p>
    <w:p>
      <w:pPr>
        <w:spacing w:after="0" w:line="196" w:lineRule="exact"/>
        <w:rPr>
          <w:rFonts w:ascii="Symbol" w:cs="Symbol" w:eastAsia="Symbol" w:hAnsi="Symbol"/>
          <w:sz w:val="20"/>
          <w:szCs w:val="20"/>
          <w:color w:val="auto"/>
        </w:rPr>
      </w:pPr>
    </w:p>
    <w:p>
      <w:pPr>
        <w:ind w:left="720" w:hanging="353"/>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not perform their obligations as expected;</w:t>
      </w:r>
    </w:p>
    <w:p>
      <w:pPr>
        <w:spacing w:after="0" w:line="238" w:lineRule="exact"/>
        <w:rPr>
          <w:rFonts w:ascii="Symbol" w:cs="Symbol" w:eastAsia="Symbol" w:hAnsi="Symbol"/>
          <w:sz w:val="20"/>
          <w:szCs w:val="20"/>
          <w:color w:val="auto"/>
        </w:rPr>
      </w:pPr>
    </w:p>
    <w:p>
      <w:pPr>
        <w:ind w:left="720" w:right="240" w:hanging="353"/>
        <w:spacing w:after="0" w:line="247"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212" w:lineRule="exact"/>
        <w:rPr>
          <w:rFonts w:ascii="Symbol" w:cs="Symbol" w:eastAsia="Symbol" w:hAnsi="Symbol"/>
          <w:sz w:val="20"/>
          <w:szCs w:val="20"/>
          <w:color w:val="auto"/>
        </w:rPr>
      </w:pPr>
    </w:p>
    <w:p>
      <w:pPr>
        <w:ind w:left="720" w:right="240" w:hanging="353"/>
        <w:spacing w:after="0" w:line="250"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10" w:lineRule="exact"/>
        <w:rPr>
          <w:rFonts w:ascii="Symbol" w:cs="Symbol" w:eastAsia="Symbol" w:hAnsi="Symbol"/>
          <w:sz w:val="20"/>
          <w:szCs w:val="20"/>
          <w:color w:val="auto"/>
        </w:rPr>
      </w:pPr>
    </w:p>
    <w:p>
      <w:pPr>
        <w:ind w:left="720" w:right="700" w:hanging="353"/>
        <w:spacing w:after="0" w:line="262"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could independently develop, or develop with third parties, drugs that compete directly or indirectly with our product candidates or product candidates;</w:t>
      </w:r>
    </w:p>
    <w:p>
      <w:pPr>
        <w:spacing w:after="0" w:line="195" w:lineRule="exact"/>
        <w:rPr>
          <w:rFonts w:ascii="Symbol" w:cs="Symbol" w:eastAsia="Symbol" w:hAnsi="Symbol"/>
          <w:sz w:val="20"/>
          <w:szCs w:val="20"/>
          <w:color w:val="auto"/>
        </w:rPr>
      </w:pPr>
    </w:p>
    <w:p>
      <w:pPr>
        <w:ind w:left="720" w:right="100" w:hanging="353"/>
        <w:spacing w:after="0" w:line="262"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a collaborator with marketing and distribution rights to one or more drugs may not commit sufficient resources to the marketing and distribution of such drug or drugs;</w:t>
      </w:r>
    </w:p>
    <w:p>
      <w:pPr>
        <w:spacing w:after="0" w:line="195" w:lineRule="exact"/>
        <w:rPr>
          <w:rFonts w:ascii="Symbol" w:cs="Symbol" w:eastAsia="Symbol" w:hAnsi="Symbol"/>
          <w:sz w:val="20"/>
          <w:szCs w:val="20"/>
          <w:color w:val="auto"/>
        </w:rPr>
      </w:pPr>
    </w:p>
    <w:p>
      <w:pPr>
        <w:ind w:left="720" w:right="40" w:hanging="353"/>
        <w:spacing w:after="0" w:line="262"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700"/>
          </w:cols>
          <w:pgMar w:left="1080" w:top="1066" w:right="1100" w:bottom="542" w:gutter="0" w:footer="0" w:header="0"/>
          <w:type w:val="continuous"/>
        </w:sectPr>
      </w:pPr>
    </w:p>
    <w:bookmarkStart w:id="75" w:name="page76"/>
    <w:bookmarkEnd w:id="75"/>
    <w:p>
      <w:pPr>
        <w:ind w:left="720" w:right="40"/>
        <w:spacing w:after="0" w:line="278" w:lineRule="auto"/>
        <w:rPr>
          <w:sz w:val="20"/>
          <w:szCs w:val="20"/>
          <w:color w:val="auto"/>
        </w:rPr>
      </w:pPr>
      <w:r>
        <w:rPr>
          <w:rFonts w:ascii="Times New Roman" w:cs="Times New Roman" w:eastAsia="Times New Roman" w:hAnsi="Times New Roman"/>
          <w:sz w:val="20"/>
          <w:szCs w:val="20"/>
          <w:color w:val="auto"/>
        </w:rPr>
        <w:t>commercialization of product candidates, might lead to additional responsibilities for us with respect to product candidates, or might result in litigation or arbitration, any of which would be time-consuming and expensive;</w:t>
      </w:r>
    </w:p>
    <w:p>
      <w:pPr>
        <w:spacing w:after="0" w:line="182" w:lineRule="exact"/>
        <w:rPr>
          <w:sz w:val="20"/>
          <w:szCs w:val="20"/>
          <w:color w:val="auto"/>
        </w:rPr>
      </w:pPr>
    </w:p>
    <w:p>
      <w:pPr>
        <w:ind w:left="720" w:right="100" w:hanging="353"/>
        <w:spacing w:after="0" w:line="250"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not properly obtain, maintain, defend and enforce our intellectual property rights or may use our proprietary information in such a way as to invite litigation that could jeopardize or invalidate our proprietary information or expose us to potential litigation;</w:t>
      </w:r>
    </w:p>
    <w:p>
      <w:pPr>
        <w:spacing w:after="0" w:line="210" w:lineRule="exact"/>
        <w:rPr>
          <w:rFonts w:ascii="Symbol" w:cs="Symbol" w:eastAsia="Symbol" w:hAnsi="Symbol"/>
          <w:sz w:val="20"/>
          <w:szCs w:val="20"/>
          <w:color w:val="auto"/>
        </w:rPr>
      </w:pPr>
    </w:p>
    <w:p>
      <w:pPr>
        <w:ind w:left="720" w:right="160" w:hanging="353"/>
        <w:spacing w:after="0" w:line="262"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infringe, misappropriate or otherwise violate the intellectual property rights of third parties, which may expose us to litigation and potential liability;</w:t>
      </w:r>
    </w:p>
    <w:p>
      <w:pPr>
        <w:spacing w:after="0" w:line="195" w:lineRule="exact"/>
        <w:rPr>
          <w:rFonts w:ascii="Symbol" w:cs="Symbol" w:eastAsia="Symbol" w:hAnsi="Symbol"/>
          <w:sz w:val="20"/>
          <w:szCs w:val="20"/>
          <w:color w:val="auto"/>
        </w:rPr>
      </w:pPr>
    </w:p>
    <w:p>
      <w:pPr>
        <w:ind w:left="720" w:right="300" w:hanging="353"/>
        <w:spacing w:after="0" w:line="262"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lose certain valuable rights under circumstances identified in any collaboration arrangement that we enter into, such as if we undergo a change of control;</w:t>
      </w:r>
    </w:p>
    <w:p>
      <w:pPr>
        <w:spacing w:after="0" w:line="195" w:lineRule="exact"/>
        <w:rPr>
          <w:rFonts w:ascii="Symbol" w:cs="Symbol" w:eastAsia="Symbol" w:hAnsi="Symbol"/>
          <w:sz w:val="20"/>
          <w:szCs w:val="20"/>
          <w:color w:val="auto"/>
        </w:rPr>
      </w:pPr>
    </w:p>
    <w:p>
      <w:pPr>
        <w:ind w:left="720" w:right="20" w:hanging="353"/>
        <w:spacing w:after="0" w:line="262"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marketing and/or commercialization of the applicable product candidates;</w:t>
      </w:r>
    </w:p>
    <w:p>
      <w:pPr>
        <w:spacing w:after="0" w:line="195" w:lineRule="exact"/>
        <w:rPr>
          <w:rFonts w:ascii="Symbol" w:cs="Symbol" w:eastAsia="Symbol" w:hAnsi="Symbol"/>
          <w:sz w:val="20"/>
          <w:szCs w:val="20"/>
          <w:color w:val="auto"/>
        </w:rPr>
      </w:pPr>
    </w:p>
    <w:p>
      <w:pPr>
        <w:ind w:left="720" w:right="240" w:hanging="353"/>
        <w:spacing w:after="0" w:line="262"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learn about our discoveries, data, proprietary information, trade secrets, or compounds and use this knowledge to compete with us in the future; and</w:t>
      </w:r>
    </w:p>
    <w:p>
      <w:pPr>
        <w:spacing w:after="0" w:line="196" w:lineRule="exact"/>
        <w:rPr>
          <w:rFonts w:ascii="Symbol" w:cs="Symbol" w:eastAsia="Symbol" w:hAnsi="Symbol"/>
          <w:sz w:val="20"/>
          <w:szCs w:val="20"/>
          <w:color w:val="auto"/>
        </w:rPr>
      </w:pPr>
    </w:p>
    <w:p>
      <w:pPr>
        <w:ind w:left="720" w:right="300" w:hanging="353"/>
        <w:spacing w:after="0" w:line="262"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and type of our collaborations could adversely affect our attractiveness to future collaborators or acquirers.</w:t>
      </w:r>
    </w:p>
    <w:p>
      <w:pPr>
        <w:spacing w:after="0" w:line="18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color w:val="auto"/>
        </w:rPr>
        <w:t>Collaboration agreements may not lead to development or commercialization of product candidates in the most efficient manner, or at all.</w:t>
      </w:r>
    </w:p>
    <w:p>
      <w:pPr>
        <w:spacing w:after="0" w:line="167"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currently dependent on a single third party manufacturer for the manufacture of the active pharmaceutical ingredient for our product candidates. This reliance on a single third party increases the risk that we will not have sufficient quantities of our product candidates or drugs or such quantities at an acceptable cost, which could delay, prevent or impair our development or commercialization efforts.</w:t>
      </w:r>
    </w:p>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do not have any manufacturing facilities or personnel, and we currently have no plans to build our own clinical or commercial scale manufacturing capabilities. We currently contract with third parties for the manufacture of our product candidates for certain preclinical trials and clinical trial materials, including raw materials and consumables necessary for their manufacture, consistent with applicable cGMP requirements. We intend to continue to contract for these materials in the future, including commercial manufacture if our product candidates receive marketing approval.</w:t>
      </w:r>
    </w:p>
    <w:p>
      <w:pPr>
        <w:spacing w:after="0" w:line="19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The API and drug product for our product candidates is currently manufactured by a single contract manufacturer. Although we may do so in the future, we do not currently have arrangements in place for redundant supply of the API and drug product for our product candidates.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to rely on third-party manufacturers or third-party collaborators for the manufacture of our product candidates for commercial supply of any of our product candidates for which we or any of our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71" w:lineRule="exact"/>
        <w:rPr>
          <w:sz w:val="20"/>
          <w:szCs w:val="20"/>
          <w:color w:val="auto"/>
        </w:rPr>
      </w:pPr>
    </w:p>
    <w:p>
      <w:pPr>
        <w:ind w:left="360" w:right="20" w:hanging="353"/>
        <w:spacing w:after="0" w:line="250" w:lineRule="auto"/>
        <w:tabs>
          <w:tab w:leader="none" w:pos="36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failure of the third party to manufacture our product candidate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69" w:lineRule="exact"/>
        <w:rPr>
          <w:rFonts w:ascii="Symbol" w:cs="Symbol" w:eastAsia="Symbol" w:hAnsi="Symbol"/>
          <w:sz w:val="20"/>
          <w:szCs w:val="20"/>
          <w:color w:val="auto"/>
        </w:rPr>
      </w:pPr>
    </w:p>
    <w:p>
      <w:pPr>
        <w:ind w:left="360" w:right="600" w:hanging="353"/>
        <w:spacing w:after="0" w:line="262" w:lineRule="auto"/>
        <w:tabs>
          <w:tab w:leader="none" w:pos="36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termination or nonrenewal of agreements by our third-party contractors at a time that is costly or inconvenient for us;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700"/>
          </w:cols>
          <w:pgMar w:left="1080" w:top="1066" w:right="1100" w:bottom="542" w:gutter="0" w:footer="0" w:header="0"/>
          <w:type w:val="continuous"/>
        </w:sectPr>
      </w:pPr>
    </w:p>
    <w:bookmarkStart w:id="76" w:name="page77"/>
    <w:bookmarkEnd w:id="76"/>
    <w:p>
      <w:pPr>
        <w:ind w:left="360" w:hanging="353"/>
        <w:spacing w:after="0"/>
        <w:tabs>
          <w:tab w:leader="none" w:pos="36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breach by the third-party contractors of our agreements with them;</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failure of third-party contractors to comply with applicable regulatory requirements;</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failure of the third party to manufacture our product candidates according to our specifications;</w:t>
      </w:r>
    </w:p>
    <w:p>
      <w:pPr>
        <w:spacing w:after="0" w:line="198" w:lineRule="exact"/>
        <w:rPr>
          <w:rFonts w:ascii="Symbol" w:cs="Symbol" w:eastAsia="Symbol" w:hAnsi="Symbol"/>
          <w:sz w:val="20"/>
          <w:szCs w:val="20"/>
          <w:color w:val="auto"/>
        </w:rPr>
      </w:pPr>
    </w:p>
    <w:p>
      <w:pPr>
        <w:ind w:left="360" w:right="100" w:hanging="353"/>
        <w:spacing w:after="0" w:line="262" w:lineRule="auto"/>
        <w:tabs>
          <w:tab w:leader="none" w:pos="36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mislabeling of clinical supplies, potentially resulting in issues including the wrong dose amounts being supplied or active drug or placebo not being properly identified;</w:t>
      </w:r>
    </w:p>
    <w:p>
      <w:pPr>
        <w:spacing w:after="0" w:line="155" w:lineRule="exact"/>
        <w:rPr>
          <w:rFonts w:ascii="Symbol" w:cs="Symbol" w:eastAsia="Symbol" w:hAnsi="Symbol"/>
          <w:sz w:val="20"/>
          <w:szCs w:val="20"/>
          <w:color w:val="auto"/>
        </w:rPr>
      </w:pPr>
    </w:p>
    <w:p>
      <w:pPr>
        <w:ind w:left="360" w:right="120" w:hanging="353"/>
        <w:spacing w:after="0" w:line="262" w:lineRule="auto"/>
        <w:tabs>
          <w:tab w:leader="none" w:pos="36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57" w:lineRule="exact"/>
        <w:rPr>
          <w:rFonts w:ascii="Symbol" w:cs="Symbol" w:eastAsia="Symbol" w:hAnsi="Symbol"/>
          <w:sz w:val="20"/>
          <w:szCs w:val="20"/>
          <w:color w:val="auto"/>
        </w:rPr>
      </w:pPr>
    </w:p>
    <w:p>
      <w:pPr>
        <w:ind w:left="360" w:hanging="353"/>
        <w:spacing w:after="0"/>
        <w:tabs>
          <w:tab w:leader="none" w:pos="36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w:t>
      </w:r>
    </w:p>
    <w:p>
      <w:pPr>
        <w:spacing w:after="0" w:line="18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The facilities used by our contract manufacturers to manufacture our product candidates must be approved by the FDA or the EMA pursuant to inspections that will be conducted after we submit our NDA to the FDA or our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203"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auto"/>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and harm our business and results of operations.</w:t>
      </w:r>
    </w:p>
    <w:p>
      <w:pPr>
        <w:spacing w:after="0" w:line="1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Any drugs that we may develop may compete with other product candidates and drugs for access to manufacturing facilities. There are a limited number of manufacturers that operate under cGMP regulations and that might be capable of manufacturing for us.</w:t>
      </w:r>
    </w:p>
    <w:p>
      <w:pPr>
        <w:spacing w:after="0" w:line="185"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manufacturers could delay clinical development or marketing approval.</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do not currently have arrangements in place for redundant supply of the API of our product candidates. If our current contract manufacturer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191"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our product candidates or drugs may adversely affect our future profit margins and our ability to commercialize any drugs that receive marketing approval on a timely and competitive basis.</w:t>
      </w:r>
    </w:p>
    <w:p>
      <w:pPr>
        <w:sectPr>
          <w:pgSz w:w="11880" w:h="15480" w:orient="portrait"/>
          <w:cols w:equalWidth="0" w:num="1">
            <w:col w:w="9700"/>
          </w:cols>
          <w:pgMar w:left="1080" w:top="1082"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700"/>
          </w:cols>
          <w:pgMar w:left="1080" w:top="1082" w:right="1100" w:bottom="542"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intellectual property protection for our product candidates or for our technology, our competitors could develop and commercialize products or technology similar or identical to ours, and our ability to successfully commercialize any product candidates we may develop, and our technology may be adversely affected.</w:t>
      </w:r>
    </w:p>
    <w:p>
      <w:pPr>
        <w:spacing w:after="0" w:line="18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Our commercial success will depend in large part on obtaining and maintaining patent, trademark and trade secret protection of our proprietary technologies and our product candidates, their respective components, formulations, methods used to manufacture them and methods of treatment, as well as successfully defending these patents against third-party challenges. We seek to protect our proprietary position by filing patent applications in the United States and abroad relating to our product candidates as well as other technologies that are important to our business.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20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chemical structure of eprenetapopt is in the public domain. Accordingly, we do not own or license any composition of matter patents claiming the compound of eprenetapopt and will not in the future own or license any composition of matter patents claiming the chemical structure of eprenetapopt as described in the public domain. Our patent portfolio for eprenetapopt currently consists of method-of-use and formulation patent claims, and dosing, manufacturing processes, crystalline solid form, and combination therapy patent application claims. Our existing patents and any future patents we obtain may not be sufficiently broad to prevent others from using our technology or from developing competing products and technologies. Any failure to obtain or maintain patent protection with respect to eprenetapopt and our other product candidates could have a material adverse effect on our business, financial condition, results of operations and growth prospects. If it is later determined that our activities or product candidates infringe, misappropriate or otherwise violate the intellectual property of third parties we may be liable for damages, enhanced damages or subjected to an injunction, any of which could have a material adverse effect on our business.</w:t>
      </w:r>
    </w:p>
    <w:p>
      <w:pPr>
        <w:spacing w:after="0" w:line="20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Our patent portfolio for our portfolio of DDR inhibitors, including our WEE1 and ATR programs, currently includes compositions of matter, pharmaceutical compositions, and methods of use patent claims. Our existing patents and any future patents we may obtain may not be sufficiently broad to prevent others from using our technology or from developing competing products and technologies. Any failure to obtain or maintain patent protection with respect to our portfolio of DDR inhibitors could have a material adverse effect on our business, financial condition, results of operations and growth prospects. If it is later determined that our activities or product candidates infringe, misappropriate or otherwise violate the intellectual property of third parties we may be liable for damages, enhanced damages or subjected to an injunction, any of which could have a material adverse effect on our business.</w:t>
      </w:r>
    </w:p>
    <w:p>
      <w:pPr>
        <w:spacing w:after="0" w:line="2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During the course of business, we have decided not to pursue certain products or processes and have not pursued certain corresponding intellectual property. However, we may decide to pursue such products or processes again in the future. It is also possible that we will fail to identify patentable aspects of our research and development output before it is too late to obtain patent protection.</w:t>
      </w:r>
    </w:p>
    <w:p>
      <w:pPr>
        <w:spacing w:after="0" w:line="20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Our ability to obtain and maintain valid and enforceable patents depends on whether the differences between our inventions and the prior art, including our own previously filed patent applications and scientific publications, allow our inventions to be patentable over the prior art. We are aware of certain scientific publications by our inventors and other</w:t>
      </w:r>
    </w:p>
    <w:p>
      <w:pPr>
        <w:sectPr>
          <w:pgSz w:w="11880" w:h="15480" w:orient="portrait"/>
          <w:cols w:equalWidth="0" w:num="1">
            <w:col w:w="9660"/>
          </w:cols>
          <w:pgMar w:left="1080" w:top="1063" w:right="1140" w:bottom="542"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660"/>
          </w:cols>
          <w:pgMar w:left="1080" w:top="1063" w:right="1140" w:bottom="542" w:gutter="0" w:footer="0" w:header="0"/>
          <w:type w:val="continuous"/>
        </w:sectPr>
      </w:pPr>
    </w:p>
    <w:bookmarkStart w:id="78" w:name="page79"/>
    <w:bookmarkEnd w:id="78"/>
    <w:p>
      <w:pPr>
        <w:ind w:right="20"/>
        <w:spacing w:after="0" w:line="242" w:lineRule="auto"/>
        <w:rPr>
          <w:sz w:val="20"/>
          <w:szCs w:val="20"/>
          <w:color w:val="auto"/>
        </w:rPr>
      </w:pPr>
      <w:r>
        <w:rPr>
          <w:rFonts w:ascii="Times New Roman" w:cs="Times New Roman" w:eastAsia="Times New Roman" w:hAnsi="Times New Roman"/>
          <w:sz w:val="20"/>
          <w:szCs w:val="20"/>
          <w:color w:val="auto"/>
        </w:rPr>
        <w:t>third parties that disclose subject matter relating to certain of our patents, that may be used by third parties to challenge the validity and enforceability of our patents and patent applications. If such third parties are successful, we could lose valuable patent rights. In the United States, an inventor’s own publication cannot be used as prior art to the inventor’s patent application on the same subject matter when published less than one year before the effective filing date of the patent application. Such a publication may be considered prior art in certain jurisdictions that do not provide such a grace period.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certain of these parties have and others may in the future breach the agreements and disclose such output before a patent application is filed, thereby jeopardizing our ability to seek patent protection.</w:t>
      </w:r>
    </w:p>
    <w:p>
      <w:pPr>
        <w:spacing w:after="0" w:line="200"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Moreover, the coverage claimed in a patent application can be significantly reduced before the patent is issued, and its scope can be reinterpreted after issuance.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w:t>
      </w:r>
    </w:p>
    <w:p>
      <w:pPr>
        <w:spacing w:after="0" w:line="19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our patents may be challenged in the courts or patent offices in the United States and abroad. Such challenges may result in the patent claims of our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In addition, some of our owned patents and patent applications may in the future be co-owned with third parties. If we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co-owned patents in order to enforce such patents against third parties, and such cooperation may not be provided to us.</w:t>
      </w:r>
    </w:p>
    <w:p>
      <w:pPr>
        <w:spacing w:after="0" w:line="20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Given the amount of time required for the development, testing and regulatory review of new product candidates, which may be extended due to epidemic or pandemic disease outbreaks,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 Upon the expiration of our current patents, we may lose the right to exclude others from practicing these inventions based on patent exclusivity. The expiration of these patents could also have a similar material adverse effect on our business, results of operations, financial condition and prospects.</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proprietary position for eprenetapopt depends upon patents that consist of formulation patent claims, which may not prevent a competitor or other third party from using the same product candidate for another use or in another formulation.</w:t>
      </w:r>
    </w:p>
    <w:p>
      <w:pPr>
        <w:spacing w:after="0" w:line="17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Composition-of-matter patent claims on the active pharmaceutical ingredient, or API, in pharmaceutical drug products are generally considered to be the favored form of intellectual property protection for drug products because such patents may provide protection without regard to any particular method of use or manufacture or formulation of the API used. The chemical structure of eprenetapopt is in the public domain. Accordingly, we do not own or license any composition of matter patents claiming the compound of eprenetapopt and will not in the future own or license any composition of matter patents claiming the chemical structure of eprenetapopt as described in the public domain.</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720"/>
          </w:cols>
          <w:pgMar w:left="1080" w:top="1066" w:right="1080" w:bottom="542" w:gutter="0" w:footer="0" w:header="0"/>
          <w:type w:val="continuous"/>
        </w:sectPr>
      </w:pPr>
    </w:p>
    <w:bookmarkStart w:id="79" w:name="page80"/>
    <w:bookmarkEnd w:id="79"/>
    <w:p>
      <w:pPr>
        <w:spacing w:after="0" w:line="245" w:lineRule="auto"/>
        <w:rPr>
          <w:sz w:val="20"/>
          <w:szCs w:val="20"/>
          <w:color w:val="auto"/>
        </w:rPr>
      </w:pPr>
      <w:r>
        <w:rPr>
          <w:rFonts w:ascii="Times New Roman" w:cs="Times New Roman" w:eastAsia="Times New Roman" w:hAnsi="Times New Roman"/>
          <w:sz w:val="20"/>
          <w:szCs w:val="20"/>
          <w:color w:val="auto"/>
        </w:rPr>
        <w:t>Method-of-use patent claims protect the use of a product for the specified method and dosing or formulation patent claims cover dosing regimens or formulations of the API. These types of patent claims do not prevent a competitor or other third party from marketing an identical API for an indication that is outside the scope of the method claims or from developing a different dosing regimen or formulation that is outside the scope of the dosing or formulation claims.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such infringement is difficult to prevent or prosecute.</w:t>
      </w:r>
    </w:p>
    <w:p>
      <w:pPr>
        <w:spacing w:after="0" w:line="19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addition, there are numerous publications and other prior art that may be relevant to our patents and may be used to challenge the validity of such patents in litigation or other intellectual property-related proceedings. If such challenges are successful, our patents may be narrowed or found to be invalid and we may lose valuable intellectual property rights. Any of the foregoing could have a material adverse effect on our business, financial conditions and results of operations and prospects.</w:t>
      </w:r>
    </w:p>
    <w:p>
      <w:pPr>
        <w:spacing w:after="0" w:line="198"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 candidates and other technologies could be narrowed or found invalid or unenforceable if challenged in court or before administrative bodies in the United States or abroad.</w:t>
      </w:r>
    </w:p>
    <w:p>
      <w:pPr>
        <w:spacing w:after="0" w:line="16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If we seek to enforce a patent covering our product candidates or other technologies against a third party, that third party could assert that such patent is invalid or unenforceable. In patent litigation in the United States, challenges to validity or enforceability are commonplace. Grounds for a validity challenge could be an alleged failure to meet any of several statutory requirements, including lack of patentable subject matter, lack of novelty, obviousness, inadequate written description, indefiniteness, or lack of enablement. Grounds for an unenforceability assertion could be an allegation that relevant information was withheld from or a misleading statement was made to the USPTO during prosecution.</w:t>
      </w:r>
    </w:p>
    <w:p>
      <w:pPr>
        <w:spacing w:after="0" w:line="20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 xml:space="preserve">In addition, third parties may raise claims challenging the validity or enforceability of our patents before administrative bodies in the United States or abroad, even outside the context of litigation. Such mechanisms include preissuance submission of prior art to the USPTO and re-examination,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interference proceedings, derivation proceedings, and equivalent proceedings in foreign jurisdictions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opposition proceedings). Moreover, we may have to participate in interference proceedings declared by the USPTO to determine priority of invention or in post- grant challenge proceedings, such as oppositions in a foreign patent office, that challenge our priority of invention or other features of patentability with respect to our patents and patent applications. An adverse determination in any such submission, proceeding or litigation could reduce the scope of, or invalidate or render unenforceable, our patent rights, allow third parties to commercialize our product candidates or other technologies and compete directly with us, without payment to us.</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United States, an inventor’s own publication may not be effective prior art to the inventor’s patent application on the same subject matter when published less than one year before the effective filing date of the patent application. Such a publication might be considered prior art in certain jurisdictions that do not provide such a grace period. For those non-US jurisdictions, reliance on non-patent exclusivity may provide sufficient competitive protection to exclude others from commercializing generic versions of our products.</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products. Any of the foregoing could have a material adverse effect on our business, results of operations, financial condition and prospects.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700"/>
          </w:cols>
          <w:pgMar w:left="1080" w:top="1066" w:right="1100" w:bottom="542"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other claims challenging the inventorship of our patents and other intellectual property.</w:t>
      </w:r>
    </w:p>
    <w:p>
      <w:pPr>
        <w:spacing w:after="0" w:line="23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We may also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or other technologies.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19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or data exclusivity for any product candidates we may develop, our business may be materially harmed.</w:t>
      </w:r>
    </w:p>
    <w:p>
      <w:pPr>
        <w:spacing w:after="0" w:line="15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commonly referred to as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0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obtaining, through acquisitions, in-licenses or otherwise, rights that may be necessary to our product candidates or other technologies.</w:t>
      </w:r>
    </w:p>
    <w:p>
      <w:pPr>
        <w:spacing w:after="0" w:line="15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 growth of our business may depend in part on our future ability to acquire or in-license any relevant third-party proprietary rights that we may identify as necessary or important to our business operations.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such third-party intellectual property rights.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misappropriate or otherwise violate intellectual property rights which may entail additional costs and development delays, even if we were able to develop such alternatives, which may not be feasible. Even if we are able to obtain a license to such intellectual property rights, any such license may be non-exclusive, which may allow our competitors access to the same technologies licensed to us.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700"/>
          </w:cols>
          <w:pgMar w:left="1080" w:top="1066" w:right="1100" w:bottom="542" w:gutter="0" w:footer="0" w:header="0"/>
          <w:type w:val="continuous"/>
        </w:sectPr>
      </w:pPr>
    </w:p>
    <w:bookmarkStart w:id="81" w:name="page82"/>
    <w:bookmarkEnd w:id="81"/>
    <w:p>
      <w:pPr>
        <w:ind w:right="140"/>
        <w:spacing w:after="0" w:line="246" w:lineRule="auto"/>
        <w:rPr>
          <w:sz w:val="20"/>
          <w:szCs w:val="20"/>
          <w:color w:val="auto"/>
        </w:rPr>
      </w:pPr>
      <w:r>
        <w:rPr>
          <w:rFonts w:ascii="Times New Roman" w:cs="Times New Roman" w:eastAsia="Times New Roman" w:hAnsi="Times New Roman"/>
          <w:sz w:val="20"/>
          <w:szCs w:val="20"/>
          <w:color w:val="auto"/>
        </w:rPr>
        <w:t>Additionally, we sometimes collaborate with academic institutions and clinical research organizations to accelerate our research or development under written agreements with these institutions and organizations. In certain cases, these institutions and organizations may own or jointly own with us inventions that are created under such collaborations and provide us with an option to negotiate a license to any of the institution’s rights in such inventions. Regardless of such option, we may be unable to negotiate a license within the specified timeframe or under terms that are acceptable to us. If we are unable to do so, the institution or organization may offer the intellectual property rights to others, potentially blocking our ability to pursue our program and allowing third parties to compete with us.</w:t>
      </w:r>
    </w:p>
    <w:p>
      <w:pPr>
        <w:spacing w:after="0" w:line="2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third-party intellectual property that may be necessary, we may have to abandon development of such program and our business, results of operations, financial condition and prospects could suffer.</w:t>
      </w:r>
    </w:p>
    <w:p>
      <w:pPr>
        <w:spacing w:after="0" w:line="19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could diminish the value of patents in general, thereby impairing our ability to protect our product candidates and technology.</w:t>
      </w:r>
    </w:p>
    <w:p>
      <w:pPr>
        <w:spacing w:after="0" w:line="1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Recent or future patent reform legislation could increase the uncertainties and costs surrounding the prosecution of our patent applications and the enforcement or defense of our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regardless of whether another inventor had made the invention earlier.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patents or patent applications.</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The America Invents Act includes a number of other significant changes to U.S. patent law, including provisions that affect the way patent applications are prosecuted, redefine prior art and establish a new post-grant review system. These include allowing third 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all of which could have a material adverse effect on our business and financial condition. Accordingly, the America Invents Act and its implementation could increase the uncertainties and costs surrounding the prosecution of our patent applications and the enforcement or defense of our issued patents.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700"/>
          </w:cols>
          <w:pgMar w:left="1080" w:top="1066" w:right="1100" w:bottom="542" w:gutter="0" w:footer="0" w:header="0"/>
          <w:type w:val="continuous"/>
        </w:sectPr>
      </w:pPr>
    </w:p>
    <w:bookmarkStart w:id="82" w:name="page83"/>
    <w:bookmarkEnd w:id="82"/>
    <w:p>
      <w:pPr>
        <w:ind w:right="240"/>
        <w:spacing w:after="0" w:line="246" w:lineRule="auto"/>
        <w:rPr>
          <w:sz w:val="20"/>
          <w:szCs w:val="20"/>
          <w:color w:val="auto"/>
        </w:rPr>
      </w:pPr>
      <w:r>
        <w:rPr>
          <w:rFonts w:ascii="Times New Roman" w:cs="Times New Roman" w:eastAsia="Times New Roman" w:hAnsi="Times New Roman"/>
          <w:sz w:val="20"/>
          <w:szCs w:val="20"/>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0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and other intellectual property rights, which could be expensive, time consuming and unsuccessful.</w:t>
      </w:r>
    </w:p>
    <w:p>
      <w:pPr>
        <w:spacing w:after="0" w:line="15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Competitors may infringe our patents, or we may be required to defend against claims of infringement. In addition, our patents also may become involved in inventorship, priority, validity or unenforceability disputes. To counter or defend against such claims can be expensive and time consuming. We may not prevail in any lawsuits that we initiate, and the damages or other remedies awarded, if any, may not be commercially meaningful. For example, in an infringement proceeding, a court may decide that a patent owned by us is invalid or unenforceable. There is also the risk that, even if the validity of these patents is upheld, the court will refuse to stop the third party on the ground that such third party’s activities do not infringe our owned patents, including finding that the other party’s use of our patented technology falls under the safe harbor to patent infringement under 35 U.S.C. § 271(e)(1). Even if resolved in our favor, these lawsuits are expensive and would consume time and other resources, including distracting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may not be able to detect infringement against our patents which may be more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20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 xml:space="preserve">If another party questions the patentability of any of our claims in our U.S. patents, the third party can request that the USPTO review the patent claims such as in an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w:t>
      </w:r>
      <w:r>
        <w:rPr>
          <w:rFonts w:ascii="Times New Roman" w:cs="Times New Roman" w:eastAsia="Times New Roman" w:hAnsi="Times New Roman"/>
          <w:sz w:val="20"/>
          <w:szCs w:val="20"/>
          <w:i w:val="1"/>
          <w:iCs w:val="1"/>
          <w:color w:val="auto"/>
        </w:rPr>
        <w:t>ex parte</w:t>
      </w:r>
      <w:r>
        <w:rPr>
          <w:rFonts w:ascii="Times New Roman" w:cs="Times New Roman" w:eastAsia="Times New Roman" w:hAnsi="Times New Roman"/>
          <w:sz w:val="20"/>
          <w:szCs w:val="20"/>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700"/>
          </w:cols>
          <w:pgMar w:left="1080" w:top="1066" w:right="1100" w:bottom="542" w:gutter="0" w:footer="0" w:header="0"/>
          <w:type w:val="continuous"/>
        </w:sectPr>
      </w:pPr>
    </w:p>
    <w:bookmarkStart w:id="83" w:name="page84"/>
    <w:bookmarkEnd w:id="83"/>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sued for infringing, misappropriating or otherwise violating patents or other intellectual property rights of third parties, it will be costly and time consuming, and an unfavorable outcome in that litigation would have a material adverse effect on our business.</w:t>
      </w:r>
    </w:p>
    <w:p>
      <w:pPr>
        <w:spacing w:after="0" w:line="17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Our commercial success depends upon our ability to develop, manufacture, market and sell our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We may be exposed to, or threatened with, future litigation by third parties having patent or other intellectual property rights alleging that our product candidates and/or proprietary technologies infringe, misappropriate or otherwise violate their intellectual property rights. We cannot guarantee that our product candidates and other technologies that we have developed, are developing or may develop in the future will not infringe existing or future patents owned by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It is also possible that patents owned by third parties of which we are aware, but which we do not believe are relevant to our product candidates or other technologies, could be found to be infringed by our product candidates or other technologies.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be required to obtain rights to such patents owned by third parties which may not be available on commercially reasonable terms or at all, or may only be available on a non-exclusive basis.</w:t>
      </w:r>
    </w:p>
    <w:p>
      <w:pPr>
        <w:spacing w:after="0" w:line="20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If a third party claims that we infringe its intellectual property rights, we may face a number of issues even if we believe such claims are without merit, including, but not limited to:</w:t>
      </w:r>
    </w:p>
    <w:p>
      <w:pPr>
        <w:spacing w:after="0" w:line="181" w:lineRule="exact"/>
        <w:rPr>
          <w:sz w:val="20"/>
          <w:szCs w:val="20"/>
          <w:color w:val="auto"/>
        </w:rPr>
      </w:pPr>
    </w:p>
    <w:p>
      <w:pPr>
        <w:ind w:left="360" w:right="780" w:hanging="353"/>
        <w:spacing w:after="0" w:line="251" w:lineRule="auto"/>
        <w:tabs>
          <w:tab w:leader="none" w:pos="36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infringement and other intellectual property claims which, regardless of merit, may be expensive and time-consuming to litigate, may divert our management’s attention from our core business and may impact our reputation;</w:t>
      </w:r>
    </w:p>
    <w:p>
      <w:pPr>
        <w:spacing w:after="0" w:line="207" w:lineRule="exact"/>
        <w:rPr>
          <w:rFonts w:ascii="Symbol" w:cs="Symbol" w:eastAsia="Symbol" w:hAnsi="Symbol"/>
          <w:sz w:val="20"/>
          <w:szCs w:val="20"/>
          <w:color w:val="auto"/>
        </w:rPr>
      </w:pPr>
    </w:p>
    <w:p>
      <w:pPr>
        <w:ind w:left="360" w:right="160" w:hanging="353"/>
        <w:spacing w:after="0" w:line="251" w:lineRule="auto"/>
        <w:tabs>
          <w:tab w:leader="none" w:pos="36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07" w:lineRule="exact"/>
        <w:rPr>
          <w:rFonts w:ascii="Symbol" w:cs="Symbol" w:eastAsia="Symbol" w:hAnsi="Symbol"/>
          <w:sz w:val="20"/>
          <w:szCs w:val="20"/>
          <w:color w:val="auto"/>
        </w:rPr>
      </w:pPr>
    </w:p>
    <w:p>
      <w:pPr>
        <w:ind w:left="360" w:right="260" w:hanging="353"/>
        <w:spacing w:after="0" w:line="290" w:lineRule="auto"/>
        <w:tabs>
          <w:tab w:leader="none" w:pos="360" w:val="left"/>
        </w:tabs>
        <w:numPr>
          <w:ilvl w:val="0"/>
          <w:numId w:val="49"/>
        </w:numPr>
        <w:rPr>
          <w:rFonts w:ascii="Symbol" w:cs="Symbol" w:eastAsia="Symbol" w:hAnsi="Symbol"/>
          <w:sz w:val="19"/>
          <w:szCs w:val="19"/>
          <w:color w:val="auto"/>
        </w:rPr>
      </w:pPr>
      <w:r>
        <w:rPr>
          <w:rFonts w:ascii="Times New Roman" w:cs="Times New Roman" w:eastAsia="Times New Roman" w:hAnsi="Times New Roman"/>
          <w:sz w:val="19"/>
          <w:szCs w:val="19"/>
          <w:color w:val="auto"/>
        </w:rPr>
        <w:t>a court prohibiting us from developing, manufacturing, marketing or selling our product candidates or from using our proprietary technologies, unless the third party licenses its patent rights to us, which it is not required to do;</w:t>
      </w:r>
    </w:p>
    <w:p>
      <w:pPr>
        <w:spacing w:after="0" w:line="168" w:lineRule="exact"/>
        <w:rPr>
          <w:rFonts w:ascii="Symbol" w:cs="Symbol" w:eastAsia="Symbol" w:hAnsi="Symbol"/>
          <w:sz w:val="19"/>
          <w:szCs w:val="19"/>
          <w:color w:val="auto"/>
        </w:rPr>
      </w:pPr>
    </w:p>
    <w:p>
      <w:pPr>
        <w:jc w:val="both"/>
        <w:ind w:left="360" w:right="60" w:hanging="353"/>
        <w:spacing w:after="0" w:line="251" w:lineRule="auto"/>
        <w:tabs>
          <w:tab w:leader="none" w:pos="36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 candidates or such license is only available on a non-exclusive basis; and</w:t>
      </w:r>
    </w:p>
    <w:p>
      <w:pPr>
        <w:spacing w:after="0" w:line="207" w:lineRule="exact"/>
        <w:rPr>
          <w:rFonts w:ascii="Symbol" w:cs="Symbol" w:eastAsia="Symbol" w:hAnsi="Symbol"/>
          <w:sz w:val="20"/>
          <w:szCs w:val="20"/>
          <w:color w:val="auto"/>
        </w:rPr>
      </w:pPr>
    </w:p>
    <w:p>
      <w:pPr>
        <w:ind w:left="360" w:right="180" w:hanging="353"/>
        <w:spacing w:after="0" w:line="262" w:lineRule="auto"/>
        <w:tabs>
          <w:tab w:leader="none" w:pos="36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redesigning our product candidates or processes so they do not infringe, which may not be possible or may require substantial monetary expenditures and time.</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700"/>
          </w:cols>
          <w:pgMar w:left="1080" w:top="1066" w:right="1100" w:bottom="542" w:gutter="0" w:footer="0" w:header="0"/>
          <w:type w:val="continuous"/>
        </w:sectPr>
      </w:pPr>
    </w:p>
    <w:bookmarkStart w:id="84" w:name="page85"/>
    <w:bookmarkEnd w:id="84"/>
    <w:p>
      <w:pPr>
        <w:ind w:right="280"/>
        <w:spacing w:after="0" w:line="278" w:lineRule="auto"/>
        <w:rPr>
          <w:sz w:val="20"/>
          <w:szCs w:val="20"/>
          <w:color w:val="auto"/>
        </w:rPr>
      </w:pPr>
      <w:r>
        <w:rPr>
          <w:rFonts w:ascii="Times New Roman" w:cs="Times New Roman" w:eastAsia="Times New Roman" w:hAnsi="Times New Roman"/>
          <w:sz w:val="20"/>
          <w:szCs w:val="20"/>
          <w:color w:val="auto"/>
        </w:rPr>
        <w:t>condition and prospects. The occurrence of any of the foregoing could have a material adverse effect on our business, financial condition, results of operations or growth prospects.</w:t>
      </w:r>
    </w:p>
    <w:p>
      <w:pPr>
        <w:spacing w:after="0" w:line="1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20"/>
          <w:szCs w:val="20"/>
          <w:i w:val="1"/>
          <w:iCs w:val="1"/>
          <w:color w:val="auto"/>
        </w:rPr>
        <w:t>ex-parte</w:t>
      </w:r>
      <w:r>
        <w:rPr>
          <w:rFonts w:ascii="Times New Roman" w:cs="Times New Roman" w:eastAsia="Times New Roman" w:hAnsi="Times New Roman"/>
          <w:sz w:val="20"/>
          <w:szCs w:val="20"/>
          <w:color w:val="auto"/>
        </w:rPr>
        <w:t xml:space="preserve"> re-exam,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with patents throughout the world.</w:t>
      </w:r>
    </w:p>
    <w:p>
      <w:pPr>
        <w:spacing w:after="0" w:line="23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Filing, prosecuting and defending patents on all of our product candidates throughout the world would be prohibitively expensive, and the laws of some foreign countries may not protect our rights to the same extent as the laws of the United States.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to enforce our intellectual property rights or proceedings by third parties to challenge the scope or validity of our patent rights in foreign jurisdictions could result in substantial cost and divert our efforts and attention from other aspects of our business and could put our patents at risk of being invalidated or interpreted narrowly.</w:t>
      </w:r>
    </w:p>
    <w:p>
      <w:pPr>
        <w:spacing w:after="0" w:line="21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growth prospects may be adversely affected.</w: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7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USPTO and various foreign governmental patent agencies require compliance with a number of procedural, documentary, fee payment and other provisions during the patent prosecution process and following the issuance of a patent. In some cases, an inadvertent failure to comply with such requirements can be cured by payment of a late fee or by other means in accordance with the applicable rules. There are situations, however, in which non-compliance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79"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we employ individuals who were previously employed at other biotechnology or pharmaceutical companies, including our competitors or potential competitors.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700"/>
          </w:cols>
          <w:pgMar w:left="1080" w:top="1066" w:right="1100" w:bottom="542" w:gutter="0" w:footer="0" w:header="0"/>
          <w:type w:val="continuous"/>
        </w:sectPr>
      </w:pPr>
    </w:p>
    <w:bookmarkStart w:id="85" w:name="page86"/>
    <w:bookmarkEnd w:id="85"/>
    <w:p>
      <w:pPr>
        <w:spacing w:after="0" w:line="242" w:lineRule="auto"/>
        <w:rPr>
          <w:sz w:val="20"/>
          <w:szCs w:val="20"/>
          <w:color w:val="auto"/>
        </w:rPr>
      </w:pPr>
      <w:r>
        <w:rPr>
          <w:rFonts w:ascii="Times New Roman" w:cs="Times New Roman" w:eastAsia="Times New Roman" w:hAnsi="Times New Roman"/>
          <w:sz w:val="20"/>
          <w:szCs w:val="20"/>
          <w:color w:val="auto"/>
        </w:rPr>
        <w:t>Although no claims against us are currently pending, we may be subject to claims that these employees, consultants or advisors or we have inadvertently or otherwise used or disclosed trade secrets or other proprietary information of their current or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0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spacing w:after="0" w:line="19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Confidentiality agreements with employees and third parties may not prevent unauthorized disclosure of trade secrets and other proprietary information.</w:t>
      </w:r>
    </w:p>
    <w:p>
      <w:pPr>
        <w:spacing w:after="0" w:line="15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platform technology and discovery and development processes that involve proprietary know-how, information or technology that is not covered by patents. However, trade secrets can be difficult to protect and we have limited control over the protection of trade secrets used by our collaborators and suppliers. Although we seek to protect our proprietary technology and processes, in part, by entering into confidentiality agreements with parties who have access them, such as our employees, consultants, and outside scientific advisors, contractors and collaborators, we cannot guarantee that we have entered into such agreements with each party that may have or have had access to our trade secrets or proprietary technology and processes. Despite our efforts,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Moreover, our competitors or other third parties may independently develop equivalent knowledge, methods and know-how.</w:t>
      </w:r>
    </w:p>
    <w:p>
      <w:pPr>
        <w:spacing w:after="0" w:line="20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Enforcing a claim that a third party illegally obtained and is using any of our trade secrets is expensive and time consuming, and the outcome is unpredictable. In addition, courts inside and outside the United States sometimes are less willing or unwilling to protect trade secrets. If we choose to go to court to stop a third party from using any of our trade secrets, we may incur substantial costs. These lawsuits may consume our time and other resources even if we are successful. If any of our trade secrets were determined to be lawfully obtained or independently developed by a competitor or other third party, we may not be able to prevent them from using that technology or information to compete with us. If any of our trade secrets were to be disclosed to or independently developed by a competitor or other third party, our competitive position, business, results of operations and prospects would be materially and adversely harmed.</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720"/>
          </w:cols>
          <w:pgMar w:left="1080" w:top="1066" w:right="1080" w:bottom="542"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23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81" w:lineRule="exact"/>
        <w:rPr>
          <w:sz w:val="20"/>
          <w:szCs w:val="20"/>
          <w:color w:val="auto"/>
        </w:rPr>
      </w:pPr>
    </w:p>
    <w:p>
      <w:pPr>
        <w:ind w:left="360" w:right="2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be able to make or use compounds that are similar to the pharmaceutical compounds used in our product candidates but that are not covered by the claims of our patents;</w:t>
      </w:r>
    </w:p>
    <w:p>
      <w:pPr>
        <w:spacing w:after="0" w:line="195" w:lineRule="exact"/>
        <w:rPr>
          <w:rFonts w:ascii="Symbol" w:cs="Symbol" w:eastAsia="Symbol" w:hAnsi="Symbol"/>
          <w:sz w:val="20"/>
          <w:szCs w:val="20"/>
          <w:color w:val="auto"/>
        </w:rPr>
      </w:pPr>
    </w:p>
    <w:p>
      <w:pPr>
        <w:ind w:left="360" w:right="4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the APIs in our current product candidates will eventually become commercially available in generic drug products, and no patent protection may be available with regard to formulation or method of use;</w:t>
      </w:r>
    </w:p>
    <w:p>
      <w:pPr>
        <w:spacing w:after="0" w:line="196" w:lineRule="exact"/>
        <w:rPr>
          <w:rFonts w:ascii="Symbol" w:cs="Symbol" w:eastAsia="Symbol" w:hAnsi="Symbol"/>
          <w:sz w:val="20"/>
          <w:szCs w:val="20"/>
          <w:color w:val="auto"/>
        </w:rPr>
      </w:pPr>
    </w:p>
    <w:p>
      <w:pPr>
        <w:ind w:left="360" w:right="68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our future licensors or collaborators, might not have been the first to file patent applications for these inventions;</w:t>
      </w:r>
    </w:p>
    <w:p>
      <w:pPr>
        <w:spacing w:after="0" w:line="195" w:lineRule="exact"/>
        <w:rPr>
          <w:rFonts w:ascii="Symbol" w:cs="Symbol" w:eastAsia="Symbol" w:hAnsi="Symbol"/>
          <w:sz w:val="20"/>
          <w:szCs w:val="20"/>
          <w:color w:val="auto"/>
        </w:rPr>
      </w:pPr>
    </w:p>
    <w:p>
      <w:pPr>
        <w:ind w:left="360" w:right="38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our future licensors or collaborators, might not have been the first to make the inventions covered by our issued patents or pending patent applications;</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our current or future pending or licensed patent applications will not result in issued patents;</w:t>
      </w:r>
    </w:p>
    <w:p>
      <w:pPr>
        <w:spacing w:after="0" w:line="238" w:lineRule="exact"/>
        <w:rPr>
          <w:rFonts w:ascii="Symbol" w:cs="Symbol" w:eastAsia="Symbol" w:hAnsi="Symbol"/>
          <w:sz w:val="20"/>
          <w:szCs w:val="20"/>
          <w:color w:val="auto"/>
        </w:rPr>
      </w:pPr>
    </w:p>
    <w:p>
      <w:pPr>
        <w:ind w:left="360" w:right="4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public disclosures or publications, including disclosures or publications made by us, could be used in an attempt to invalidate our patents;</w:t>
      </w:r>
    </w:p>
    <w:p>
      <w:pPr>
        <w:spacing w:after="0" w:line="196" w:lineRule="exact"/>
        <w:rPr>
          <w:rFonts w:ascii="Symbol" w:cs="Symbol" w:eastAsia="Symbol" w:hAnsi="Symbol"/>
          <w:sz w:val="20"/>
          <w:szCs w:val="20"/>
          <w:color w:val="auto"/>
        </w:rPr>
      </w:pPr>
    </w:p>
    <w:p>
      <w:pPr>
        <w:ind w:left="360" w:right="16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 or other third parties;</w:t>
      </w:r>
    </w:p>
    <w:p>
      <w:pPr>
        <w:spacing w:after="0" w:line="195" w:lineRule="exact"/>
        <w:rPr>
          <w:rFonts w:ascii="Symbol" w:cs="Symbol" w:eastAsia="Symbol" w:hAnsi="Symbol"/>
          <w:sz w:val="20"/>
          <w:szCs w:val="20"/>
          <w:color w:val="auto"/>
        </w:rPr>
      </w:pPr>
    </w:p>
    <w:p>
      <w:pPr>
        <w:ind w:left="360" w:right="80" w:hanging="353"/>
        <w:spacing w:after="0" w:line="251"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207" w:lineRule="exact"/>
        <w:rPr>
          <w:rFonts w:ascii="Symbol" w:cs="Symbol" w:eastAsia="Symbol" w:hAnsi="Symbol"/>
          <w:sz w:val="20"/>
          <w:szCs w:val="20"/>
          <w:color w:val="auto"/>
        </w:rPr>
      </w:pPr>
    </w:p>
    <w:p>
      <w:pPr>
        <w:ind w:left="360" w:hanging="353"/>
        <w:spacing w:after="0"/>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others may circumvent our patents;</w:t>
      </w:r>
    </w:p>
    <w:p>
      <w:pPr>
        <w:spacing w:after="0" w:line="238" w:lineRule="exact"/>
        <w:rPr>
          <w:rFonts w:ascii="Symbol" w:cs="Symbol" w:eastAsia="Symbol" w:hAnsi="Symbol"/>
          <w:sz w:val="20"/>
          <w:szCs w:val="20"/>
          <w:color w:val="auto"/>
        </w:rPr>
      </w:pPr>
    </w:p>
    <w:p>
      <w:pPr>
        <w:ind w:left="36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there are unpublished applications or patent applications maintained in secrecy that may later issue with claims covering our products or technology similar to ours;</w:t>
      </w:r>
    </w:p>
    <w:p>
      <w:pPr>
        <w:spacing w:after="0" w:line="196" w:lineRule="exact"/>
        <w:rPr>
          <w:rFonts w:ascii="Symbol" w:cs="Symbol" w:eastAsia="Symbol" w:hAnsi="Symbol"/>
          <w:sz w:val="20"/>
          <w:szCs w:val="20"/>
          <w:color w:val="auto"/>
        </w:rPr>
      </w:pPr>
    </w:p>
    <w:p>
      <w:pPr>
        <w:ind w:left="360" w:right="42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the laws of foreign countries may not protect our proprietary rights to the same extent as the laws of the United States;</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claims of our issued patents or patent applications, if and when issued, may not cover our product candidates;</w:t>
      </w:r>
    </w:p>
    <w:p>
      <w:pPr>
        <w:spacing w:after="0" w:line="239" w:lineRule="exact"/>
        <w:rPr>
          <w:rFonts w:ascii="Symbol" w:cs="Symbol" w:eastAsia="Symbol" w:hAnsi="Symbol"/>
          <w:sz w:val="20"/>
          <w:szCs w:val="20"/>
          <w:color w:val="auto"/>
        </w:rPr>
      </w:pPr>
    </w:p>
    <w:p>
      <w:pPr>
        <w:ind w:left="360" w:right="520" w:hanging="353"/>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our issued patents may not provide us with any competitive advantages, may be narrowed in scope, or be held invalid or unenforceable as a result of legal challenges by third parties;</w:t>
      </w:r>
    </w:p>
    <w:p>
      <w:pPr>
        <w:spacing w:after="0" w:line="195" w:lineRule="exact"/>
        <w:rPr>
          <w:rFonts w:ascii="Symbol" w:cs="Symbol" w:eastAsia="Symbol" w:hAnsi="Symbol"/>
          <w:sz w:val="20"/>
          <w:szCs w:val="20"/>
          <w:color w:val="auto"/>
        </w:rPr>
      </w:pPr>
    </w:p>
    <w:p>
      <w:pPr>
        <w:ind w:left="360" w:right="260" w:hanging="352"/>
        <w:spacing w:after="0" w:line="250"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inventors of our patents or patent applications may become involved with competitors, develop products or processes which design around our patents, or become hostile to us or the patents or patent applications on which they are named as inventors;</w:t>
      </w:r>
    </w:p>
    <w:p>
      <w:pPr>
        <w:spacing w:after="0" w:line="210" w:lineRule="exact"/>
        <w:rPr>
          <w:rFonts w:ascii="Symbol" w:cs="Symbol" w:eastAsia="Symbol" w:hAnsi="Symbol"/>
          <w:sz w:val="20"/>
          <w:szCs w:val="20"/>
          <w:color w:val="auto"/>
        </w:rPr>
      </w:pPr>
    </w:p>
    <w:p>
      <w:pPr>
        <w:ind w:left="360" w:right="140" w:hanging="352"/>
        <w:spacing w:after="0" w:line="262" w:lineRule="auto"/>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engaged in scientific collaborations in the past and will continue to do so in the future. Such collaborators may develop adjacent or competing products to ours that are outside the scope of our patents;</w:t>
      </w:r>
    </w:p>
    <w:p>
      <w:pPr>
        <w:spacing w:after="0" w:line="195" w:lineRule="exact"/>
        <w:rPr>
          <w:rFonts w:ascii="Symbol" w:cs="Symbol" w:eastAsia="Symbol" w:hAnsi="Symbol"/>
          <w:sz w:val="20"/>
          <w:szCs w:val="20"/>
          <w:color w:val="auto"/>
        </w:rPr>
      </w:pPr>
    </w:p>
    <w:p>
      <w:pPr>
        <w:ind w:left="360" w:hanging="352"/>
        <w:spacing w:after="0"/>
        <w:tabs>
          <w:tab w:leader="none" w:pos="36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not develop additional proprietary technologies for which we can obtain patent protection;</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680"/>
          </w:cols>
          <w:pgMar w:left="1080" w:top="1066" w:right="1120" w:bottom="542" w:gutter="0" w:footer="0" w:header="0"/>
          <w:type w:val="continuous"/>
        </w:sectPr>
      </w:pPr>
    </w:p>
    <w:bookmarkStart w:id="87" w:name="page88"/>
    <w:bookmarkEnd w:id="87"/>
    <w:p>
      <w:pPr>
        <w:ind w:left="360" w:right="280" w:hanging="353"/>
        <w:spacing w:after="0" w:line="262" w:lineRule="auto"/>
        <w:tabs>
          <w:tab w:leader="none" w:pos="36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choose not to pursue patent protection in order to maintain certain trade secrets or know-how, and a third party may subsequently obtain a patent covering such intellectual property;</w:t>
      </w:r>
    </w:p>
    <w:p>
      <w:pPr>
        <w:spacing w:after="0" w:line="196" w:lineRule="exact"/>
        <w:rPr>
          <w:rFonts w:ascii="Symbol" w:cs="Symbol" w:eastAsia="Symbol" w:hAnsi="Symbol"/>
          <w:sz w:val="20"/>
          <w:szCs w:val="20"/>
          <w:color w:val="auto"/>
        </w:rPr>
      </w:pPr>
    </w:p>
    <w:p>
      <w:pPr>
        <w:ind w:left="360" w:right="40" w:hanging="353"/>
        <w:spacing w:after="0" w:line="262" w:lineRule="auto"/>
        <w:tabs>
          <w:tab w:leader="none" w:pos="36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product candidates or diagnostic tests we develop may be covered by third parties’ patents or other exclusive rights; or</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22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growth prospects.</w:t>
      </w:r>
    </w:p>
    <w:p>
      <w:pPr>
        <w:spacing w:after="0" w:line="167"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trademarks, brand names and trade names are not adequately protected or available, then we may not be able to build name recognition in our markets of interest and our business may be adversely affected.</w:t>
      </w:r>
    </w:p>
    <w:p>
      <w:pPr>
        <w:spacing w:after="0" w:line="16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may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and marketing approval and other legal compliance matters</w:t>
      </w:r>
    </w:p>
    <w:p>
      <w:pPr>
        <w:spacing w:after="0" w:line="244"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never obtained marketing approval for a product candidate and we may be unable to obtain, or may be delayed in obtaining, marketing approval for any of our product candidates.</w:t>
      </w:r>
    </w:p>
    <w:p>
      <w:pPr>
        <w:spacing w:after="0" w:line="15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have never obtained marketing approval for a product candidate. 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extraneous factors, including an epidemic or pandemic disease outbreak, or other public health situations, could impact the timeline for FDA and comparable foreign regulatory authorities to review an application for one of our product candidates. It is possible that the FDA and comparable foreign regulatory authorities may refuse to accept for filing and substantive review any new drug applications, or NDAs, marketing authorization applications, or MAA, that we submit for our product candidates or may conclude after review of our data that our application is insufficient to obtain marketing approval of our product candidates. If the FDA, or comparable foreign regulatory authorities do not accept or approve our NDAs or MAAs for our product candidates, it may require that we conduct additional clinical, nonclinical or manufacturing validation studies and submit that data before it will reconsider our applications. Depending on the extent of these or any other regulatory authority-required studies, approval of any NDA, MAA or other application that we submit may be delayed by several years, or may require us to expend more resources than we have available. It is also possible that additional studies, if performed and completed, may not be considered sufficient by the FDA or comparable foreign regulatory authorities to approve our NDAs or our MAAs. The current pause on further patient enrollment in both once daily and twice daily monotherapy dosing arms of ABOYA-119 and the orderly wind-down of certain clinical trial site activities associated with the monotherapy arms as we explore ATTN-119 in potential combination approaches, may further extend the time required to obtain approval by the FDA and comparable foreign regulatory authorities for ATRN-119.</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720"/>
          </w:cols>
          <w:pgMar w:left="1080" w:top="1081" w:right="1080" w:bottom="542" w:gutter="0" w:footer="0" w:header="0"/>
          <w:type w:val="continuous"/>
        </w:sectPr>
      </w:pPr>
    </w:p>
    <w:bookmarkStart w:id="88" w:name="page89"/>
    <w:bookmarkEnd w:id="88"/>
    <w:p>
      <w:pPr>
        <w:ind w:right="200"/>
        <w:spacing w:after="0" w:line="252" w:lineRule="auto"/>
        <w:rPr>
          <w:sz w:val="20"/>
          <w:szCs w:val="20"/>
          <w:color w:val="auto"/>
        </w:rPr>
      </w:pPr>
      <w:r>
        <w:rPr>
          <w:rFonts w:ascii="Times New Roman" w:cs="Times New Roman" w:eastAsia="Times New Roman" w:hAnsi="Times New Roman"/>
          <w:sz w:val="20"/>
          <w:szCs w:val="20"/>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preclinical studies and clinical trials, the marketing approval process is expensive, time-consuming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18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research, testing, manufacturing, labeling, approval, selling, marketing, promotion and distribution of drugs are subject to extensive regulation by the FDA and comparable foreign regulatory authorities, whose laws and regulations may differ from country to country. We, and any future collaborators, are not permitted to market our product candidates in the United States or in other countries until we or they receive approval of an NDA from the FDA or marketing approval from comparable foreign regulatory authorities. Our product candidates are in early stages of development and are subject to the risks of failure inherent in drug development. We have not submitted an application for or received marketing approval for any of our product candidates in the United States or in any other jurisdiction. We have limited experience in conducting and managing the clinical trials necessary to obtain marketing approvals, including FDA approval of an NDA.</w:t>
      </w:r>
    </w:p>
    <w:p>
      <w:pPr>
        <w:spacing w:after="0" w:line="2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comparable foreign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20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Our product candidates could fail to receive marketing approval, or marketing approval for our product candidates could be limited or delayed, for many reasons, including the following:</w:t>
      </w:r>
    </w:p>
    <w:p>
      <w:pPr>
        <w:spacing w:after="0" w:line="182" w:lineRule="exact"/>
        <w:rPr>
          <w:sz w:val="20"/>
          <w:szCs w:val="20"/>
          <w:color w:val="auto"/>
        </w:rPr>
      </w:pPr>
    </w:p>
    <w:p>
      <w:pPr>
        <w:ind w:left="360" w:right="580" w:hanging="353"/>
        <w:spacing w:after="0" w:line="262" w:lineRule="auto"/>
        <w:tabs>
          <w:tab w:leader="none" w:pos="3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195" w:lineRule="exact"/>
        <w:rPr>
          <w:rFonts w:ascii="Symbol" w:cs="Symbol" w:eastAsia="Symbol" w:hAnsi="Symbol"/>
          <w:sz w:val="20"/>
          <w:szCs w:val="20"/>
          <w:color w:val="auto"/>
        </w:rPr>
      </w:pPr>
    </w:p>
    <w:p>
      <w:pPr>
        <w:ind w:left="360" w:right="120" w:hanging="353"/>
        <w:spacing w:after="0" w:line="262" w:lineRule="auto"/>
        <w:tabs>
          <w:tab w:leader="none" w:pos="3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product candidate is safe and effective for its proposed indication;</w:t>
      </w:r>
    </w:p>
    <w:p>
      <w:pPr>
        <w:spacing w:after="0" w:line="195" w:lineRule="exact"/>
        <w:rPr>
          <w:rFonts w:ascii="Symbol" w:cs="Symbol" w:eastAsia="Symbol" w:hAnsi="Symbol"/>
          <w:sz w:val="20"/>
          <w:szCs w:val="20"/>
          <w:color w:val="auto"/>
        </w:rPr>
      </w:pPr>
    </w:p>
    <w:p>
      <w:pPr>
        <w:ind w:left="360" w:right="380" w:hanging="353"/>
        <w:spacing w:after="0" w:line="262" w:lineRule="auto"/>
        <w:tabs>
          <w:tab w:leader="none" w:pos="3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238" w:lineRule="exact"/>
        <w:rPr>
          <w:rFonts w:ascii="Symbol" w:cs="Symbol" w:eastAsia="Symbol" w:hAnsi="Symbol"/>
          <w:sz w:val="20"/>
          <w:szCs w:val="20"/>
          <w:color w:val="auto"/>
        </w:rPr>
      </w:pPr>
    </w:p>
    <w:p>
      <w:pPr>
        <w:ind w:left="360" w:right="140" w:hanging="353"/>
        <w:spacing w:after="0" w:line="262" w:lineRule="auto"/>
        <w:tabs>
          <w:tab w:leader="none" w:pos="3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195" w:lineRule="exact"/>
        <w:rPr>
          <w:rFonts w:ascii="Symbol" w:cs="Symbol" w:eastAsia="Symbol" w:hAnsi="Symbol"/>
          <w:sz w:val="20"/>
          <w:szCs w:val="20"/>
          <w:color w:val="auto"/>
        </w:rPr>
      </w:pPr>
    </w:p>
    <w:p>
      <w:pPr>
        <w:ind w:left="360" w:hanging="353"/>
        <w:spacing w:after="0" w:line="262" w:lineRule="auto"/>
        <w:tabs>
          <w:tab w:leader="none" w:pos="3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or other submission and applications or to obtain marketing approval in the United States or elsewhere;</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680"/>
          </w:cols>
          <w:pgMar w:left="1080" w:top="1066" w:right="1120" w:bottom="542" w:gutter="0" w:footer="0" w:header="0"/>
          <w:type w:val="continuous"/>
        </w:sectPr>
      </w:pPr>
    </w:p>
    <w:bookmarkStart w:id="89" w:name="page90"/>
    <w:bookmarkEnd w:id="89"/>
    <w:p>
      <w:pPr>
        <w:ind w:left="360" w:right="180" w:hanging="353"/>
        <w:spacing w:after="0" w:line="262" w:lineRule="auto"/>
        <w:tabs>
          <w:tab w:leader="none" w:pos="3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comparable foreign regulatory authorities may fail to approve the manufacturing processes or facilities of third-party manufacturers with which we contract for clinical and commercial supplies;</w:t>
      </w:r>
    </w:p>
    <w:p>
      <w:pPr>
        <w:spacing w:after="0" w:line="196" w:lineRule="exact"/>
        <w:rPr>
          <w:rFonts w:ascii="Symbol" w:cs="Symbol" w:eastAsia="Symbol" w:hAnsi="Symbol"/>
          <w:sz w:val="20"/>
          <w:szCs w:val="20"/>
          <w:color w:val="auto"/>
        </w:rPr>
      </w:pPr>
    </w:p>
    <w:p>
      <w:pPr>
        <w:ind w:left="360" w:right="240" w:hanging="353"/>
        <w:spacing w:after="0" w:line="262" w:lineRule="auto"/>
        <w:tabs>
          <w:tab w:leader="none" w:pos="3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comparable foreign regulatory authorities may fail to approve any companion diagnostics that may be required in connection with approval of our therapeutic product candidates</w:t>
      </w:r>
    </w:p>
    <w:p>
      <w:pPr>
        <w:spacing w:after="0" w:line="195" w:lineRule="exact"/>
        <w:rPr>
          <w:rFonts w:ascii="Symbol" w:cs="Symbol" w:eastAsia="Symbol" w:hAnsi="Symbol"/>
          <w:sz w:val="20"/>
          <w:szCs w:val="20"/>
          <w:color w:val="auto"/>
        </w:rPr>
      </w:pPr>
    </w:p>
    <w:p>
      <w:pPr>
        <w:ind w:left="360" w:right="660" w:hanging="353"/>
        <w:spacing w:after="0" w:line="262" w:lineRule="auto"/>
        <w:tabs>
          <w:tab w:leader="none" w:pos="3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the FDA or the applicable foreign regulatory agency may fail to approve the formulation, labeling and/or the specifications for our product candidate</w:t>
      </w:r>
    </w:p>
    <w:p>
      <w:pPr>
        <w:spacing w:after="0" w:line="195" w:lineRule="exact"/>
        <w:rPr>
          <w:rFonts w:ascii="Symbol" w:cs="Symbol" w:eastAsia="Symbol" w:hAnsi="Symbol"/>
          <w:sz w:val="20"/>
          <w:szCs w:val="20"/>
          <w:color w:val="auto"/>
        </w:rPr>
      </w:pPr>
    </w:p>
    <w:p>
      <w:pPr>
        <w:ind w:left="360" w:right="20" w:hanging="353"/>
        <w:spacing w:after="0" w:line="262" w:lineRule="auto"/>
        <w:tabs>
          <w:tab w:leader="none" w:pos="3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marketing approval policies during the development period, changes in or the enactment or promulgation of additional statutes, regulations or guidance or changes in regulatory review for each submitted drug application;</w:t>
      </w:r>
    </w:p>
    <w:p>
      <w:pPr>
        <w:spacing w:after="0" w:line="196" w:lineRule="exact"/>
        <w:rPr>
          <w:rFonts w:ascii="Symbol" w:cs="Symbol" w:eastAsia="Symbol" w:hAnsi="Symbol"/>
          <w:sz w:val="20"/>
          <w:szCs w:val="20"/>
          <w:color w:val="auto"/>
        </w:rPr>
      </w:pPr>
    </w:p>
    <w:p>
      <w:pPr>
        <w:ind w:left="360" w:right="540" w:hanging="353"/>
        <w:spacing w:after="0" w:line="262" w:lineRule="auto"/>
        <w:tabs>
          <w:tab w:leader="none" w:pos="3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195" w:lineRule="exact"/>
        <w:rPr>
          <w:rFonts w:ascii="Symbol" w:cs="Symbol" w:eastAsia="Symbol" w:hAnsi="Symbol"/>
          <w:sz w:val="20"/>
          <w:szCs w:val="20"/>
          <w:color w:val="auto"/>
        </w:rPr>
      </w:pPr>
    </w:p>
    <w:p>
      <w:pPr>
        <w:ind w:left="360" w:right="360" w:hanging="353"/>
        <w:spacing w:after="0" w:line="250" w:lineRule="auto"/>
        <w:tabs>
          <w:tab w:leader="none" w:pos="3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current voluntary pause on further patient enrollment in both once daily and twice daily monotherapy dosing arms of ABOYA-119 and the orderly wind-down of certain clinical trial site activities associated with the monotherapy arms as we explore ATTN-119 in potential combination approaches; and</w:t>
      </w:r>
    </w:p>
    <w:p>
      <w:pPr>
        <w:spacing w:after="0" w:line="210" w:lineRule="exact"/>
        <w:rPr>
          <w:rFonts w:ascii="Symbol" w:cs="Symbol" w:eastAsia="Symbol" w:hAnsi="Symbol"/>
          <w:sz w:val="20"/>
          <w:szCs w:val="20"/>
          <w:color w:val="auto"/>
        </w:rPr>
      </w:pPr>
    </w:p>
    <w:p>
      <w:pPr>
        <w:ind w:left="360" w:right="200" w:hanging="353"/>
        <w:spacing w:after="0" w:line="262" w:lineRule="auto"/>
        <w:tabs>
          <w:tab w:leader="none" w:pos="3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be unable to collaborate successfully with third parties as needed for the potential development of ATRN-119 in combinations.</w:t>
      </w:r>
    </w:p>
    <w:p>
      <w:pPr>
        <w:spacing w:after="0" w:line="1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This lengthy approval process as well as the unpredictability of clinical trial results may result in our failing to obtain marketing approval to market APR-1051 or ATRN-119, which would significantly harm our business, results of operations and prospects. Regulatory authorities have substantial discretion in the approval process and may refuse to accept any application or may decide that our data are insufficient for approval and require additional preclinical studies, clinical trials or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20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7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In order to market and sell our product candidates in the EU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20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The U.K. having left the EU, the TCA and the Northern Ireland Protocol is likely to continue to affect European and worldwide economic conditions and could contribute to greater instability in the global financial markets. These effects</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720"/>
          </w:cols>
          <w:pgMar w:left="1080" w:top="1081" w:right="1080" w:bottom="542" w:gutter="0" w:footer="0" w:header="0"/>
          <w:type w:val="continuous"/>
        </w:sectPr>
      </w:pPr>
    </w:p>
    <w:bookmarkStart w:id="90" w:name="page91"/>
    <w:bookmarkEnd w:id="90"/>
    <w:p>
      <w:pPr>
        <w:ind w:right="100"/>
        <w:spacing w:after="0" w:line="252" w:lineRule="auto"/>
        <w:rPr>
          <w:sz w:val="20"/>
          <w:szCs w:val="20"/>
          <w:color w:val="auto"/>
        </w:rPr>
      </w:pPr>
      <w:r>
        <w:rPr>
          <w:rFonts w:ascii="Times New Roman" w:cs="Times New Roman" w:eastAsia="Times New Roman" w:hAnsi="Times New Roman"/>
          <w:sz w:val="20"/>
          <w:szCs w:val="20"/>
          <w:color w:val="auto"/>
        </w:rPr>
        <w:t>could have an adverse effect on our business, investments, and future operations in Europe. There is a risk that trade between U.K. and EU businesses will be materially adversely affected, particularly in relation to highly regulated products such as pharmaceuticals and products of animal-origin, due to the additional regulatory burdens being imposed on exporters/importers which may affect the availability of these products.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consequences for the economies of the U.K. and the EU member states as a result of the U.K.’s withdrawal from the EU are still largely unknown and unpredictable. Given the lack of comparable precedent, it is unclear what the broader macro-economic and financial implications the U.K. having left the EU will have.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or any future collaborators, may not be able to obtain or maintain orphan drug exclusivity for our product candidates and, even if we do, that exclusivity may not prevent the FDA or the European Commission from approving competing products.</w:t>
      </w:r>
    </w:p>
    <w:p>
      <w:pPr>
        <w:spacing w:after="0" w:line="17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Regulatory authorities in some jurisdictions, including the United States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20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In the United States, orphan drug designation entitles a party to financial incentives such as opportunities for grant funding towards clinical trial costs, tax advantages and user-fee waivers. In addition, the company that obtains the first FDA approval for a designated orphan drug for a rare disease receives marketing exclusivity for use of that drug for the designated condition for a period of seven years. Once a product receives orphan drug exclusivity, a second product that is considered to be the same drug for the same indication generally may be approved during the exclusivity period only if the second product is shown to be “clinically superior” to the original orphan 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European Commission can grant orphan drug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it must be established that there is no other satisfactory method approved in the European Union of diagnosing, preventing or treating the condition, or if such a method exists, the proposed orphan drug will be of significant benefit to patients. Orphan drug designation is not a marketing authorization. It is a designation that provides a number of benefits, including fee reductions, regulatory assistance, and the possibility to apply for a centralized EU marketing authorization, as well as</w:t>
      </w:r>
    </w:p>
    <w:p>
      <w:pPr>
        <w:spacing w:after="0" w:line="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10 years of market exclusivity following a marketing authorization. During this market exclusivity period, neither the EMA nor the European Commission nor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competing similar medicinal product may in limited circumstances be authorized prior to the expiration of the market exclusivity period, including if it is shown to be safer, more effective or otherwise clinically superior to our product. Our product can lose orphan designation, and the related benefits, prior to us obtaining a marketing authorization if it is demonstrated that the orphan designation criteria are no longer met.</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720"/>
          </w:cols>
          <w:pgMar w:left="1080" w:top="1066" w:right="1080" w:bottom="542" w:gutter="0" w:footer="0" w:header="0"/>
          <w:type w:val="continuous"/>
        </w:sectPr>
      </w:pPr>
    </w:p>
    <w:bookmarkStart w:id="91" w:name="page92"/>
    <w:bookmarkEnd w:id="91"/>
    <w:p>
      <w:pPr>
        <w:spacing w:after="0" w:line="242" w:lineRule="auto"/>
        <w:rPr>
          <w:sz w:val="20"/>
          <w:szCs w:val="20"/>
          <w:color w:val="auto"/>
        </w:rPr>
      </w:pPr>
      <w:r>
        <w:rPr>
          <w:rFonts w:ascii="Times New Roman" w:cs="Times New Roman" w:eastAsia="Times New Roman" w:hAnsi="Times New Roman"/>
          <w:sz w:val="20"/>
          <w:szCs w:val="20"/>
          <w:color w:val="auto"/>
        </w:rPr>
        <w:t>designated indication due to the uncertainties associated with developing drug products. If this happens, marketing approval for our product candidate may be delayed due to the first-approved product’s orphan drug exclusivity, unless we demonstrate clinical superiority. We may not be able to demonstrate that our product is clinically superior to a first-approved product with orphan drug exclusivity, i.e., that it provides greater safety or efficacy or a major contribution to patient care.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w:t>
      </w: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the United States, Congress is also considering updates to the orphan drug provisions of the FDCA in response to a recent 11th Circuit decision. Any changes to the orphan drug provisions could change our opportunities for, or likelihood of success in obtaining, orphan drug exclusivity and could materially adversely affect our business, financial condition, results of operations, cash flows and prospects.</w:t>
      </w:r>
    </w:p>
    <w:p>
      <w:pPr>
        <w:spacing w:after="0" w:line="19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or any collaborators we may have in the future, obtain marketing approvals for our product candidates, the terms of approvals and ongoing regulation of our product candidates could require substantial expenditure of resources and may limit how we, or they, manufacture and market our product candidates, which could materially impair our ability to generate revenue.</w:t>
      </w:r>
    </w:p>
    <w:p>
      <w:pPr>
        <w:spacing w:after="0" w:line="18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Once marketing approval has been granted, an approved drug and its manufacturer and marketer are subject to ongoing review and extensive regulation. These requirements include submissions of safety and other post-marketing information and reports, user fee requirements,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20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FDA or comparable foreign regulatory authorities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REMS or comparable foreign equivalents, like the EU Risk Management Plan, or RMP, which could include requirements for a restricted distribution system. Manufacturers of approved drugs and those manufacturers’ facilities are also required to comply with extensive FDA or comparable foreign regulatory authorities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or comparable foreign regulatory authorities to monitor and ensure compliance with cGMPs.</w:t>
      </w:r>
    </w:p>
    <w:p>
      <w:pPr>
        <w:spacing w:after="0" w:line="19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Accordingly, assuming we, or our future collaborators, receive marketing approval for one or more of our product candidates, we, and our future collaborators, and our and their contract manufacturers will continue to expend time, money and effort in all areas of regulatory compliance, including manufacturing, production, product surveillance and quality control.</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700"/>
          </w:cols>
          <w:pgMar w:left="1080" w:top="1066" w:right="1100" w:bottom="542" w:gutter="0" w:footer="0" w:header="0"/>
          <w:type w:val="continuous"/>
        </w:sectPr>
      </w:pPr>
    </w:p>
    <w:bookmarkStart w:id="92" w:name="page93"/>
    <w:bookmarkEnd w:id="92"/>
    <w:p>
      <w:pPr>
        <w:ind w:right="600"/>
        <w:spacing w:after="0" w:line="278" w:lineRule="auto"/>
        <w:rPr>
          <w:sz w:val="20"/>
          <w:szCs w:val="20"/>
          <w:color w:val="auto"/>
        </w:rPr>
      </w:pPr>
      <w:r>
        <w:rPr>
          <w:rFonts w:ascii="Times New Roman" w:cs="Times New Roman" w:eastAsia="Times New Roman" w:hAnsi="Times New Roman"/>
          <w:sz w:val="20"/>
          <w:szCs w:val="20"/>
          <w:color w:val="auto"/>
        </w:rPr>
        <w:t>If we, and our future collaborators, are not able to comply with post-approval regulatory requirements, regulatory agencies or enforcement authorities may:</w:t>
      </w:r>
    </w:p>
    <w:p>
      <w:pPr>
        <w:spacing w:after="0" w:line="182" w:lineRule="exact"/>
        <w:rPr>
          <w:sz w:val="20"/>
          <w:szCs w:val="20"/>
          <w:color w:val="auto"/>
        </w:rPr>
      </w:pPr>
    </w:p>
    <w:p>
      <w:pPr>
        <w:ind w:left="360" w:hanging="353"/>
        <w:spacing w:after="0"/>
        <w:tabs>
          <w:tab w:leader="none" w:pos="36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issue warning letters;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impose civil or criminal penalties;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suspend regulatory approval;</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suspend any of our ongoing clinical trials;</w:t>
      </w:r>
    </w:p>
    <w:p>
      <w:pPr>
        <w:spacing w:after="0" w:line="238" w:lineRule="exact"/>
        <w:rPr>
          <w:rFonts w:ascii="Symbol" w:cs="Symbol" w:eastAsia="Symbol" w:hAnsi="Symbol"/>
          <w:sz w:val="20"/>
          <w:szCs w:val="20"/>
          <w:color w:val="auto"/>
        </w:rPr>
      </w:pPr>
    </w:p>
    <w:p>
      <w:pPr>
        <w:ind w:left="360" w:right="1080" w:hanging="353"/>
        <w:spacing w:after="0" w:line="262" w:lineRule="auto"/>
        <w:tabs>
          <w:tab w:leader="none" w:pos="36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refuse to approve pending applications or supplements to approved applications submitted by us or our collaborators;</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impose restrictions on our operations, including closing our or our collaborators’ manufacturing facilities; or</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4"/>
        </w:numPr>
        <w:rPr>
          <w:rFonts w:ascii="Symbol" w:cs="Symbol" w:eastAsia="Symbol" w:hAnsi="Symbol"/>
          <w:sz w:val="20"/>
          <w:szCs w:val="20"/>
          <w:color w:val="auto"/>
        </w:rPr>
      </w:pPr>
      <w:r>
        <w:rPr>
          <w:rFonts w:ascii="Times New Roman" w:cs="Times New Roman" w:eastAsia="Times New Roman" w:hAnsi="Times New Roman"/>
          <w:sz w:val="20"/>
          <w:szCs w:val="20"/>
          <w:color w:val="auto"/>
        </w:rPr>
        <w:t>seize or detain products or require a recall.</w:t>
      </w:r>
    </w:p>
    <w:p>
      <w:pPr>
        <w:spacing w:after="0" w:line="225"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9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 Moreover, our or our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FDA’s and other comparable regulatory authorities’ policies may change and additional government regulations may be enacted that could prevent, limit or delay regulatory approval of our product candidates, which would impact our ability to generate revenue.</w:t>
      </w:r>
    </w:p>
    <w:p>
      <w:pPr>
        <w:spacing w:after="0" w:line="17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also cannot predict the likelihood, nature or extent of government regulation that may arise from future legislation or administrative or executive action, either in the United States or abroad. The policies of the FDA and of comparable foreign regulatory authorities may change and additional government regulations may be enacted that could prevent, limit or delay regulatory licensure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licensure that we may have obtained and we may not achieve or sustain profitability. If these actions impose constraints on FDA’s ability to engage in oversight and implementation activities in the normal course, our business may be negatively impacted.</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680"/>
          </w:cols>
          <w:pgMar w:left="1080" w:top="1066" w:right="1120" w:bottom="542" w:gutter="0" w:footer="0" w:header="0"/>
          <w:type w:val="continuous"/>
        </w:sectPr>
      </w:pPr>
    </w:p>
    <w:bookmarkStart w:id="93" w:name="page94"/>
    <w:bookmarkEnd w:id="93"/>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Any of our product candidates for which we, or our future collaborators, obtain marketing approval in the future will be subject to substantial penalties if we, or they, fail to comply with regulatory requirements or if we, or they, experience unanticipated problems with our product candidates following approval.</w:t>
      </w:r>
    </w:p>
    <w:p>
      <w:pPr>
        <w:spacing w:after="0" w:line="17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Any of our product candidates for which we, or our future collaborators, obtain marketing approval in the future, will be subject to continual review by the FDA or comparable foreign regulatory authorities.</w:t>
      </w:r>
    </w:p>
    <w:p>
      <w:pPr>
        <w:spacing w:after="0" w:line="16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For example, in the United States, 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future collaborators, do not market any of our product candidates for which we, or they, receive marketing approval for only their approved indications, we, or they, may be subject to warnings or enforcement action for off- 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later discovery of previously unknown adverse events or other problems with our product candidates or their manufacturers or manufacturing processes, or failure to comply with regulatory requirements, may yield various results, including:</w:t>
      </w:r>
    </w:p>
    <w:p>
      <w:pPr>
        <w:spacing w:after="0" w:line="201" w:lineRule="exact"/>
        <w:rPr>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litigation involving patients taking our drug;</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such drugs, manufacturers or manufacturing processes;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labeling or marketing of a drug;</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drug distribution or use;</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warning letters or untitled letters;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withdrawal of the drugs from the market;</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recall of drugs;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damage to relationships with any potential collaborators;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coverage by third-party payors;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unfavorable press coverage and damage to our reputation;</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to permit the import or export of drugs;</w:t>
      </w:r>
    </w:p>
    <w:p>
      <w:pPr>
        <w:spacing w:after="0" w:line="239" w:lineRule="exact"/>
        <w:rPr>
          <w:rFonts w:ascii="Symbol" w:cs="Symbol" w:eastAsia="Symbol" w:hAnsi="Symbol"/>
          <w:sz w:val="20"/>
          <w:szCs w:val="20"/>
          <w:color w:val="auto"/>
        </w:rPr>
      </w:pPr>
    </w:p>
    <w:p>
      <w:pPr>
        <w:ind w:left="360" w:hanging="352"/>
        <w:spacing w:after="0"/>
        <w:tabs>
          <w:tab w:leader="none" w:pos="36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drug seizure; or</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680"/>
          </w:cols>
          <w:pgMar w:left="1080" w:top="1066" w:right="1120" w:bottom="542" w:gutter="0" w:footer="0" w:header="0"/>
          <w:type w:val="continuous"/>
        </w:sectPr>
      </w:pPr>
    </w:p>
    <w:bookmarkStart w:id="94" w:name="page95"/>
    <w:bookmarkEnd w:id="94"/>
    <w:p>
      <w:pPr>
        <w:ind w:left="360" w:hanging="353"/>
        <w:spacing w:after="0"/>
        <w:tabs>
          <w:tab w:leader="none" w:pos="36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24"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Recently enacted and future legislation, and any change in existing government regulations and policies, may increase the difficulty and cost for us and our future collaborators to obtain marketing approval of and commercialize our product candidates and affect the prices we, or they, may obtain.</w:t>
      </w:r>
    </w:p>
    <w:p>
      <w:pPr>
        <w:spacing w:after="0" w:line="17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w:t>
      </w:r>
    </w:p>
    <w:p>
      <w:pPr>
        <w:spacing w:after="0" w:line="199"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In the United States, the Congress and recent presidential administrations have enacted or are considering a number of legislative and regulatory proposals to change the healthcare system in ways that could affect our ability to sell our products, if approved, and to do so effectively. Among policy makers and payors in the United States and elsewhere, there is significant interest in promoting changes in healthcare systems with the stated goals of containing healthcare costs, improving quality and expanding access.</w:t>
      </w:r>
    </w:p>
    <w:p>
      <w:pPr>
        <w:spacing w:after="0" w:line="19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the United States, the pharmaceutical industry has been a particular focus of efforts to reform the healthcare system and has been significantly affected by major legislative initiatives, including the PPACA, which contains provisions that may potentially affect the profitability of our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pricing program. The framework of the PPACA continues to evolve as a result of executive, legislative, regulatory and administrative developments that have challenged the law and contribute to legal uncertainty that could affect the profitability of our products. See Part I, Item 1, “Government Regulation – U.S. Healthcare Reform” for further information.</w:t>
      </w:r>
    </w:p>
    <w:p>
      <w:pPr>
        <w:spacing w:after="0" w:line="20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expect that these and other healthcare reform measures that may be adopted in the future may result in more rigorous coverage criteria and/or new payment methodologies, and place additional downward pressure on the price that we receive for any approved product and/or the level of reimbursement physicians receive for administering any approved product we might bring to market. Reductions in reimbursement levels and imposition of more rigorous coverage criteria or new payment methodologies may negatively impact the prices we receive or the frequency with which our products are prescribed or administered. Any coverage or reimbursement policies instituted by Medicare or other federal health care programs may result in similar policies from private payors. The implementation of cost containment measures or other healthcare reforms may affect our ability to generate revenue, attain or maintain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pricing of prescription pharmaceuticals is also subject to governmental control outside the United States. In countries outside of the United States,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60"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20"/>
          <w:szCs w:val="20"/>
          <w:color w:val="auto"/>
        </w:rPr>
        <w:t>Legislative and regulatory proposals have also been made to expand post-approval requirements and restrict sales and promotional activities for drug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w:t>
      </w:r>
    </w:p>
    <w:p>
      <w:pPr>
        <w:sectPr>
          <w:pgSz w:w="11880" w:h="15480" w:orient="portrait"/>
          <w:cols w:equalWidth="0" w:num="1">
            <w:col w:w="9700"/>
          </w:cols>
          <w:pgMar w:left="1080" w:top="1082"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700"/>
          </w:cols>
          <w:pgMar w:left="1080" w:top="1082" w:right="1100" w:bottom="542" w:gutter="0" w:footer="0" w:header="0"/>
          <w:type w:val="continuous"/>
        </w:sectPr>
      </w:pPr>
    </w:p>
    <w:bookmarkStart w:id="95" w:name="page96"/>
    <w:bookmarkEnd w:id="95"/>
    <w:p>
      <w:pPr>
        <w:ind w:right="320"/>
        <w:spacing w:after="0" w:line="278" w:lineRule="auto"/>
        <w:rPr>
          <w:sz w:val="20"/>
          <w:szCs w:val="20"/>
          <w:color w:val="auto"/>
        </w:rPr>
      </w:pPr>
      <w:r>
        <w:rPr>
          <w:rFonts w:ascii="Times New Roman" w:cs="Times New Roman" w:eastAsia="Times New Roman" w:hAnsi="Times New Roman"/>
          <w:sz w:val="20"/>
          <w:szCs w:val="20"/>
          <w:color w:val="auto"/>
        </w:rPr>
        <w:t>Congress of the FDA’s approval process may significantly delay or prevent marketing approval, as well as subject us and any future collaborators to more stringent drug labeling and post-marketing testing and other requirements.</w:t>
      </w:r>
    </w:p>
    <w:p>
      <w:pPr>
        <w:spacing w:after="0" w:line="12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Regulatory proposals have been made to allow the importation of prescription drugs into the United States that are approved for marketing in Canada, and potentially other countries. If such proposal are implemented, and if any of our product candidates or other similar or equivalent drug products are approved in another ex-US jurisdiction, these regulatory proposals may impact the competition our product may face, if approved. We cannot be sure whether additional legislative changes will be enacted, or whether the FDA regulations, guidance or interpretations will be changed, or what the impact of such changes on the marketing approvals of our product candidates, if any, may be.</w:t>
      </w:r>
    </w:p>
    <w:p>
      <w:pPr>
        <w:spacing w:after="0" w:line="16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seek a breakthrough therapy designation for APR- 1051 or ATRN-119, or one or more of our other product candidates, but we might not receive such designation, and even if we do, such designation may not lead to a faster development or regulatory review or approval process.</w:t>
      </w:r>
    </w:p>
    <w:p>
      <w:pPr>
        <w:spacing w:after="0" w:line="17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We may seek a breakthrough therapy designation for APR-1051, ATRN-119 or one or more of our other product candidates. A breakthrough therapy is defined as a drug that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 and parts of the NDA may be submitted and reviewed on a rolling basis.</w:t>
      </w:r>
    </w:p>
    <w:p>
      <w:pPr>
        <w:spacing w:after="0" w:line="20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 For example, in June 2022, FDA published a draft guidance document outlining considerations for the Agency in rescinding Breakthrough Therapy designation for products that no longer meet the requirements for that designation.</w:t>
      </w:r>
    </w:p>
    <w:p>
      <w:pPr>
        <w:spacing w:after="0" w:line="202"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fast track designation by the FDA for APR-1051, ATRN-119, or any of our other product candidates may not actually lead to a faster development or regulatory review or approval process.</w:t>
      </w:r>
    </w:p>
    <w:p>
      <w:pPr>
        <w:spacing w:after="0" w:line="15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If a drug is intended, whether alone or in combination with one or more other drugs, for the treatment of a serious or life-threatening condition and nonclinical or clinical data demonstrate the potential to address unmet medical need for this condition, a drug sponsor may apply for FDA fast track designation. We may not experience a faster development or regulatory review or approval process for any product candidates, if any, for which we obtain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seek priority review designation for one or more of our product candidates, but we might not receive such designation, and even if we do, such designation may not lead to a faster development or regulatory review or approval process.</w:t>
      </w:r>
    </w:p>
    <w:p>
      <w:pPr>
        <w:spacing w:after="0" w:line="179"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9700"/>
          </w:cols>
          <w:pgMar w:left="1080" w:top="1066" w:right="1100" w:bottom="542" w:gutter="0" w:footer="0" w:header="0"/>
          <w:type w:val="continuous"/>
        </w:sectPr>
      </w:pPr>
    </w:p>
    <w:bookmarkStart w:id="96" w:name="page97"/>
    <w:bookmarkEnd w:id="96"/>
    <w:p>
      <w:pPr>
        <w:spacing w:after="0" w:line="246" w:lineRule="auto"/>
        <w:rPr>
          <w:sz w:val="20"/>
          <w:szCs w:val="20"/>
          <w:color w:val="auto"/>
        </w:rPr>
      </w:pPr>
      <w:r>
        <w:rPr>
          <w:rFonts w:ascii="Times New Roman" w:cs="Times New Roman" w:eastAsia="Times New Roman" w:hAnsi="Times New Roman"/>
          <w:sz w:val="20"/>
          <w:szCs w:val="20"/>
          <w:color w:val="auto"/>
        </w:rPr>
        <w:t>from the 60-day filing date,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0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8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Although we do not currently have any products on the market, we are subject to a variety of regulatory requirements, including healthcare statutory and regulatory requirements and enforcement by the U.S. federal and state governments and the foreign governments of the countries in which we conduct our business. Even though we are not in a position to make patient referrals and do not bill Medicare, Medicaid, or other government or commercial third-party payors, our relationships with healthcare providers, physicians and third-party payors will subject us to healthcare statutory and regulatory requirements and enforcement by the U.S.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See Part I, Item 1, “Government Regulation – Healthcare Law and Regulation” for more detail.</w:t>
      </w:r>
    </w:p>
    <w:p>
      <w:pPr>
        <w:spacing w:after="0" w:line="2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1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5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We are exposed to the risk of our employees and consultants committing fraud or other misconduct, including intentional failures to comply with FDA regulations or similar regulations of comparable foreign regulatory authorities, provide accurate information to the FDA or comparable foreign regulatory authorities, comply with manufacturing standards we may establish, comply with federal and state healthcare fraud and abuse laws and regulations and similar laws and regulations established and enforced by comparable foreign regulatory authorities,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Employee</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9700"/>
          </w:cols>
          <w:pgMar w:left="1080" w:top="1066" w:right="1100" w:bottom="542" w:gutter="0" w:footer="0" w:header="0"/>
          <w:type w:val="continuous"/>
        </w:sectPr>
      </w:pPr>
    </w:p>
    <w:bookmarkStart w:id="97" w:name="page98"/>
    <w:bookmarkEnd w:id="97"/>
    <w:p>
      <w:pPr>
        <w:ind w:right="60"/>
        <w:spacing w:after="0" w:line="246" w:lineRule="auto"/>
        <w:rPr>
          <w:sz w:val="20"/>
          <w:szCs w:val="20"/>
          <w:color w:val="auto"/>
        </w:rPr>
      </w:pPr>
      <w:r>
        <w:rPr>
          <w:rFonts w:ascii="Times New Roman" w:cs="Times New Roman" w:eastAsia="Times New Roman" w:hAnsi="Times New Roman"/>
          <w:sz w:val="20"/>
          <w:szCs w:val="20"/>
          <w:color w:val="auto"/>
        </w:rPr>
        <w:t>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5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57"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54" w:lineRule="exact"/>
        <w:rPr>
          <w:sz w:val="20"/>
          <w:szCs w:val="20"/>
          <w:color w:val="auto"/>
        </w:rPr>
      </w:pPr>
    </w:p>
    <w:p>
      <w:pPr>
        <w:jc w:val="both"/>
        <w:ind w:right="5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7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If we expand our operations outside of the United States, we must comply with numerous laws and regulations in each jurisdiction in which we plan to operate, such as the applicable anti-bribery, anti-corruption, anti-money laundering regulations. The creation and implementation of international business practices compliance programs is costly and such programs are difficult to enforce, particularly where reliance on third parties is required.</w:t>
      </w:r>
    </w:p>
    <w:p>
      <w:pPr>
        <w:spacing w:after="0" w:line="19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201"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9720"/>
          </w:cols>
          <w:pgMar w:left="1080" w:top="1066" w:right="1080" w:bottom="542" w:gutter="0" w:footer="0" w:header="0"/>
          <w:type w:val="continuous"/>
        </w:sectPr>
      </w:pPr>
    </w:p>
    <w:bookmarkStart w:id="98" w:name="page99"/>
    <w:bookmarkEnd w:id="98"/>
    <w:p>
      <w:pPr>
        <w:ind w:right="40"/>
        <w:spacing w:after="0" w:line="246" w:lineRule="auto"/>
        <w:rPr>
          <w:sz w:val="20"/>
          <w:szCs w:val="20"/>
          <w:color w:val="auto"/>
        </w:rPr>
      </w:pPr>
      <w:r>
        <w:rPr>
          <w:rFonts w:ascii="Times New Roman" w:cs="Times New Roman" w:eastAsia="Times New Roman" w:hAnsi="Times New Roman"/>
          <w:sz w:val="20"/>
          <w:szCs w:val="20"/>
          <w:color w:val="auto"/>
        </w:rPr>
        <w:t>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20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are also subject to other laws and regulations governing our international operations, including applicable import and export control regulations, economic sanctions on countries and persons administered or enforced by the U.S. government (including, without limitation, the Office of Foreign Assets Control of the U.S. Department of the Treasury), anti-money laundering laws, customs requirements and currency exchange regulations, collectively referred to as the trade control laws. We can provide no assurance that we will be completely effective in ensuring our compliance with all applicable legal requirements, including trade control laws. If we are not in compliance with applicable trade control laws, we may be subject to criminal and civil penalties, disgorgement and other sanctions and remedial measures, and legal expenses, which could have an adverse impact on our business, results of operations, financial condition and prospects. Likewise, any investigation of any potential violations of these trade control laws by U.S. or other authorities could also have an adverse impact on our reputation, our business, results of operations, financial condition and prospects.</w:t>
      </w:r>
    </w:p>
    <w:p>
      <w:pPr>
        <w:spacing w:after="0" w:line="2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w:t>
      </w:r>
    </w:p>
    <w:p>
      <w:pPr>
        <w:spacing w:after="0" w:line="20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7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In the ordinary course of our business, we collect and store sensitive data, including personally identifiable information, intellectual property and proprietary business information owned or controlled by ourselves and other parties. We manage and maintain our applications and data utilizing a combination of on-site systems, managed data centers and cloud-based data centers. We utilize external security and infrastructure vendors to manage our information technology systems and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or disruptions to our IT systems, inappropriate use or disclosure of protected information,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20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secure processing, storage, maintenance and transmission of this critical information are vital to our operations and business strategy. Although we take measures to protect sensitive data from unauthorized access, use or disclosure, including the development of policies and procedures to protect our information technology systems and confidential and proprietary information, there is no guarantee we can protect our data from data security incidents, and our information technology and infrastructure may be vulnerable to attacks by hackers or viruses or breached due to employee or vendor error, malfeasance or other malicious or inadvertent disruptions from internal or external threats.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HIPAA, HITECH, and regulatory penalties. Notice of breaches must be made to affected individuals, the Secretary of the Department of Health and Human Services, and notice may need to be made to the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9720"/>
          </w:cols>
          <w:pgMar w:left="1080" w:top="1066" w:right="1080" w:bottom="542" w:gutter="0" w:footer="0" w:header="0"/>
          <w:type w:val="continuous"/>
        </w:sectPr>
      </w:pPr>
    </w:p>
    <w:bookmarkStart w:id="99" w:name="page100"/>
    <w:bookmarkEnd w:id="99"/>
    <w:p>
      <w:pPr>
        <w:spacing w:after="0" w:line="247" w:lineRule="auto"/>
        <w:rPr>
          <w:sz w:val="20"/>
          <w:szCs w:val="20"/>
          <w:color w:val="auto"/>
        </w:rPr>
      </w:pPr>
      <w:r>
        <w:rPr>
          <w:rFonts w:ascii="Times New Roman" w:cs="Times New Roman" w:eastAsia="Times New Roman" w:hAnsi="Times New Roman"/>
          <w:sz w:val="20"/>
          <w:szCs w:val="20"/>
          <w:color w:val="auto"/>
        </w:rPr>
        <w:t>media or other data protection regulators. Such incidents, and the publicity they may generate, could harm our reputation and our ability to compete. Unauthorized access, loss or dissemination could also damage our reputation or disrupt our operations, including our ability to conduct our analyses, process claims and appeals,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0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Penalties for violations of these laws vary. For instance, penalties for failure to comply with a requirement of HIPAA and HITECH vary significantly and include civil monetary penalties of up to (as recently adjusted for inflation) $55,910 per violation, not to exceed approximately $1.68 million per calendar year for each provision of HIPAA that is violated and, in certain circumstances, criminal penalties with fines up to $250,000 per violation and/or imprisonment. However, a single breach incident can result in multiple violations, which can lead to significant financial penalties.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20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w:t>
      </w:r>
    </w:p>
    <w:p>
      <w:pPr>
        <w:spacing w:after="0" w:line="20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Further, as regulatory focus on privacy issues continues to increase and laws and regulations concerning the protection of personal information expand and become more complex, these potential risks to our business could intensify. Moreover, privacy and cybersecurity laws and regulations are evolving, and may continue to add additional compliance costs and legal risks. For example, the California legislature passed the CCPA, which came into effect January 1, 2020. The CCPA requires companies doing business in California to disclose information regarding the collection, use and sharing of a consumer’s personal data, and comply with certain qualified privacy rights requests, including rights to request deletion of or to stop the sale of their personal information. While the CCPA includes certain exemptions for data protected by HIPAA or in certain research contexts, the law covers a wide range of data we may process in other contexts. The CCPA also permits the imposition of civil penalties and expands existing state security laws by providing a private right of action for consumers in certain circumstances where consumer data is subject to a breach. Interpretations of the CCPA may continue to evolve with regulatory guidance and enforcement actions from the California Attorney General. The CPRA, which expands the CCPA, passed in November 2020. The CPRA will, among other things, impose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That rulemaking process is ongoing. Following the CPRA, Virginia, Colorado, Utah and Connecticut have enacted similar, but not completely consistent, comprehensive privacy legislation that will also go into effect in January and July 2023, respectively. Many other states are considering similar legislation in addition to the consideration of comprehensive privacy legislation at the federal level. If passed, such laws will require additional resources to ensure compliance, and may have potentially conflicting requirements that would make compliance challenging.</w:t>
      </w:r>
    </w:p>
    <w:p>
      <w:pPr>
        <w:spacing w:after="0" w:line="22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9680"/>
          </w:cols>
          <w:pgMar w:left="1080" w:top="1066" w:right="1120" w:bottom="542" w:gutter="0" w:footer="0" w:header="0"/>
          <w:type w:val="continuous"/>
        </w:sectPr>
      </w:pPr>
    </w:p>
    <w:bookmarkStart w:id="100" w:name="page101"/>
    <w:bookmarkEnd w:id="100"/>
    <w:p>
      <w:pPr>
        <w:spacing w:after="0" w:line="243" w:lineRule="auto"/>
        <w:rPr>
          <w:sz w:val="20"/>
          <w:szCs w:val="20"/>
          <w:color w:val="auto"/>
        </w:rPr>
      </w:pPr>
      <w:r>
        <w:rPr>
          <w:rFonts w:ascii="Times New Roman" w:cs="Times New Roman" w:eastAsia="Times New Roman" w:hAnsi="Times New Roman"/>
          <w:sz w:val="20"/>
          <w:szCs w:val="20"/>
          <w:color w:val="auto"/>
        </w:rPr>
        <w:t>ability to collect, use and disclose data, or in some cases, impact our ability to operate in certain jurisdictions. We have policies and procedures in place, and have conducted an independent third-party audit, to support our compliance with all applicable data protection laws and regulations, and are continually improving our data protection program to address compliance risks and evolving requirements. Nevertheless, our efforts to comply with data protection laws and evaluate as well as oversee our third party vendors’ compliance with data protection laws and our contractual requirements may be insufficient to mitigate all data protection risks or compliance obligations, which could result in regulatory scrutiny, legal liability, reputational risk or operational disruption. Failure by us or by our third-party vendors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or our third-party vendors have violated individuals’ privacy rights, failed to comply with data protection laws, or breached our contractual obligations, even if we or our third-party vendor, as applicable, are not found liable, could be expensive and time consuming to defend and could result in adverse publicity that could harm our business.</w:t>
      </w:r>
    </w:p>
    <w:p>
      <w:pPr>
        <w:spacing w:after="0" w:line="20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Any clinical trial programs we conduct or research collaborations we enter into in the European Economic Area (“EEA”)/UK may subject us to the EU General Data Protection Regulation 2016/679 (the “EU GDPR”) as implemented by countries within the EEA. In addition, where we conduct programs and collaborations in the UK we may be subject to the UK Data Protection Act 2018 and the UK General Data Protection Regulation, (together the “UK GDPR”).</w:t>
      </w:r>
    </w:p>
    <w:p>
      <w:pPr>
        <w:spacing w:after="0" w:line="18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We are subject to the EU GDPR, which applies extra-territorially and implements stringent operational requirements on controllers (e.g., sponsors) and processors (e.g., CROs, laboratories) of personal data. For controllers this includes, for example, high standards for obtaining valid consent from individuals to process their personal data (where consent is the legal ground relied upon), the requirements to provide detailed disclosures to individuals, short timelines for personal data breach notifications to data protection authorities and data subjects, limitations on retention of personal data, additional considerations where processing health data and other “special categories of personal data” and specific obligations where third-party processors are engaged. The EU GDPR also prohibits the international transfer of personal data from the EEA to countries outside of the EEA unless made to a country deemed to have “adequate” data privacy laws by the European Commission or a data transfer mechanism has been put in place. Until recently, one such data transfer mechanism was the EU-US Privacy Shield. However, in July 2020 the Court of Justice of the European Union (“CJEU”) declared the Privacy Shield to be invalid for purposes of international transfers. The CJEU also imposed further restrictions on use of standard contractual clauses (SCCs) (i.e., an EU -style data transfer agreement)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Moreover, new versions of the SCCs (new EU SCCs) have recently been published requiring additional compliance and implementation efforts. In turn, the findings of the CJEU will have significant implications for cross-border data flows.</w:t>
      </w:r>
    </w:p>
    <w:p>
      <w:pPr>
        <w:spacing w:after="0" w:line="20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Further, the EU GDPR provides that EU Member States may establish their own laws and regulations further restricting the processing of genetic data, biometric data, health data and other personal data, which could limit our ability to use and share such personal data or could cause our costs to increase. The EU GDPR imposes onerous accountability obligations requiring controllers and processors to maintain a record of their data processing activities and policies and procedures to demonstrate compliance with the EU GDPR. The EU GDPR also grants certain privacy rights to individuals (e.g., the right to access or erase their personal data). While we have established some data protection policies and have a maturing compliance program, additional resources will be needed to fully comply with the EU GDPR, including for evolving regulatory guidance. If our or our vendors’ or service providers’ privacy or data security measures fail to comply with the EU GDPR requirements, we may be subject to litigation, regulatory investigations, enforcement notices requiring us to stop or change the way we use personal data and/or fines of up to 20 million Euros of the total worldwide annual turnover of the preceding financial year, whichever is higher, as well as compensation claims for financial or non-financial loss by affected individuals, negative publicity, reputational harm and a potential loss of business and goodwill. It is possible that these laws may be interpreted and applied in a manner that is inconsistent with our practices.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9720"/>
          </w:cols>
          <w:pgMar w:left="1080" w:top="1066" w:right="1080" w:bottom="542" w:gutter="0" w:footer="0" w:header="0"/>
          <w:type w:val="continuous"/>
        </w:sectPr>
      </w:pPr>
    </w:p>
    <w:bookmarkStart w:id="101" w:name="page102"/>
    <w:bookmarkEnd w:id="101"/>
    <w:p>
      <w:pPr>
        <w:ind w:right="40"/>
        <w:spacing w:after="0" w:line="245" w:lineRule="auto"/>
        <w:rPr>
          <w:sz w:val="20"/>
          <w:szCs w:val="20"/>
          <w:color w:val="auto"/>
        </w:rPr>
      </w:pPr>
      <w:r>
        <w:rPr>
          <w:rFonts w:ascii="Times New Roman" w:cs="Times New Roman" w:eastAsia="Times New Roman" w:hAnsi="Times New Roman"/>
          <w:sz w:val="20"/>
          <w:szCs w:val="20"/>
          <w:color w:val="auto"/>
        </w:rPr>
        <w:t>Relatedly, following the UK’s withdrawal from the EU (i.e., Brexit), the EU GDPR has been implemented in the United Kingdom (as the UK GDPR). The UK GDPR site alongside the UK Data Protection Act 2018 which implements certain derogations in the EU GDPR into UK law. The requirements of the UK GDPR are (at this time) largely aligned with those under the EU GDPR and as such, may lead to similar compliance and operational costs with potential fines for non-compliance of up to £17.5 million or 4% of annual worldwide turnover. As a result, we are potentially exposed to two parallel data protection regimes, each of which authorizes fines and the potential for divergent enforcement actions. It should also be noted that reliance on the new EU SCCs for transfers from the UK requires additional documentation in the form of a UK Addendum.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growth</w:t>
      </w:r>
    </w:p>
    <w:p>
      <w:pPr>
        <w:spacing w:after="0" w:line="243"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our President and Chief Executive Officer and our Senior Vice President and Chief Financial Officer, and to attract, retain and motivate qualified personnel.</w:t>
      </w:r>
    </w:p>
    <w:p>
      <w:pPr>
        <w:spacing w:after="0" w:line="11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We are highly dependent on Oren Gilad, Ph.D., our President and Chief Executive Officer and John P. Hamill, our Senior Vice President and Chief Financial Officer, as well as the other principal members of the scientific team. Our agreements with Dr. Gilad and Mr. Hamill do not prevent them from terminating their employment with us at any time. We do not maintain “key person” insurance for any of our executives or other employees. However, the loss of the services of any of these persons could impede the achievement of our research, development and commercialization objectives.</w:t>
      </w:r>
    </w:p>
    <w:p>
      <w:pPr>
        <w:spacing w:after="0" w:line="20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69"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and regulatory capabilities and potentially our sales and marketing capabilities, and as a result, we may encounter difficulties in managing our growth, which could disrupt our operations.</w:t>
      </w:r>
    </w:p>
    <w:p>
      <w:pPr>
        <w:spacing w:after="0" w:line="155"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auto"/>
        </w:rPr>
        <w:t>We expect to experience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20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need to expand our organization, and may experience difficulties in managing this growth, which could disrupt operations.</w:t>
      </w:r>
    </w:p>
    <w:p>
      <w:pPr>
        <w:spacing w:after="0" w:line="13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Our future financial performance and our ability to commercialize our product candidates and compete effectively will depend, in part, on our ability to effectively manage any future growth. We expect to hire additional employees for our managerial, clinical, scientific and engineering, operational, manufacturing, sales and marketing teams.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our attention away from our day-to-day activities and devote a substantial amount of time to managing these</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9720"/>
          </w:cols>
          <w:pgMar w:left="1080" w:top="1066" w:right="1080" w:bottom="542" w:gutter="0" w:footer="0" w:header="0"/>
          <w:type w:val="continuous"/>
        </w:sectPr>
      </w:pPr>
    </w:p>
    <w:bookmarkStart w:id="102" w:name="page103"/>
    <w:bookmarkEnd w:id="102"/>
    <w:p>
      <w:pPr>
        <w:ind w:right="100"/>
        <w:spacing w:after="0" w:line="247" w:lineRule="auto"/>
        <w:rPr>
          <w:sz w:val="20"/>
          <w:szCs w:val="20"/>
          <w:color w:val="auto"/>
        </w:rPr>
      </w:pPr>
      <w:r>
        <w:rPr>
          <w:rFonts w:ascii="Times New Roman" w:cs="Times New Roman" w:eastAsia="Times New Roman" w:hAnsi="Times New Roman"/>
          <w:sz w:val="20"/>
          <w:szCs w:val="20"/>
          <w:color w:val="auto"/>
        </w:rPr>
        <w:t>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our product candidates. If we are unable to effectively manage our growth, our expenses may increase more than expected, our ability to generate and/or grow revenues could be reduced, and we may not be able to implement our business strategy.</w:t>
      </w:r>
    </w:p>
    <w:p>
      <w:pPr>
        <w:spacing w:after="0" w:line="190"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auto"/>
        </w:rPr>
        <w:t>Many of the other pharmaceutical companies that we compete against for qualified personnel and consultants have greater financial and other resources, different risk profiles and a longer history in the industry than us. They also may provide more diverse opportunities and better chances for career advancement. Some of these characteristics may be more appealing to high-quality candidates and consultants than what we have to offer. If we are unable to continue to attract and retain high-quality personnel and consultants, the rate and success at which we can select and develop our product candidates and our business will be limited.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8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are exposed to the risk that our employees and contractors, including principal investigators, consultants, commercial collaborators, service providers and other vendors may engage in fraudulent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federal and state healthcare fraud and abuse and health regulatory laws and other similar foreign fraudulent misconduct laws, or laws that require the true, complete and accurate reporting of financial information or data. Misconduct by these parties may also involve the improper use or misrepresentation of information obtained in the course of clinical trials, which could result in regulatory sanctions and serious harm to our reputation. It is not always possible to identify and deter third-party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financial results, including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tax matters</w:t>
      </w:r>
    </w:p>
    <w:p>
      <w:pPr>
        <w:spacing w:after="0" w:line="24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significant deferred tax assets, which may become devalued if we do not generate sufficient future taxable income, applicable corporate tax rates are reduced or if we experience an ownership change.</w:t>
      </w:r>
    </w:p>
    <w:p>
      <w:pPr>
        <w:spacing w:after="0" w:line="15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Our total net deferred tax assets as of December 31, 2025 were $56.3 million. Of that amount, $29.5 million relates to gross deferred tax assets in Aprea AB. Our anticipated activities are also expected to result in future significant net operating losses in the United States and Sweden resulting in additional deferred tax assets. Utilization of most deferred tax assets is dependent on generating sufficient future taxable income in the appropriate jurisdiction and/or entity. The company has provided a valuation allowance of $56.3 million on our net deferred tax assets as of December 31, 2025, because, based on all available evidence, it is considered more likely than not that all the recorded deferred tax assets will not be realized in a future period. Additionally, most of our deferred tax assets are determined by reference to applicable corporate income tax rates in Sweden or the United States. Accordingly, in the event of a reduction of any such corporate income tax rates, the carrying value of certain of our deferred tax assets would decrease.</w:t>
      </w:r>
    </w:p>
    <w:p>
      <w:pPr>
        <w:spacing w:after="0" w:line="20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auto"/>
        </w:rPr>
        <w:t>Moreover, our ability to use our net operating losses and other deferred tax assets to offset future taxable income in Sweden and the United States may be significantly limited if we experience an ownership change. For Swedish income tax purposes, an ownership change will generally occur when one, or several shareholders together, acquire shares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9720"/>
          </w:cols>
          <w:pgMar w:left="1080" w:top="1066" w:right="1080" w:bottom="542" w:gutter="0" w:footer="0" w:header="0"/>
          <w:type w:val="continuous"/>
        </w:sectPr>
      </w:pPr>
    </w:p>
    <w:bookmarkStart w:id="103" w:name="page104"/>
    <w:bookmarkEnd w:id="103"/>
    <w:p>
      <w:pPr>
        <w:ind w:right="60"/>
        <w:spacing w:after="0" w:line="247" w:lineRule="auto"/>
        <w:rPr>
          <w:sz w:val="20"/>
          <w:szCs w:val="20"/>
          <w:color w:val="auto"/>
        </w:rPr>
      </w:pPr>
      <w:r>
        <w:rPr>
          <w:rFonts w:ascii="Times New Roman" w:cs="Times New Roman" w:eastAsia="Times New Roman" w:hAnsi="Times New Roman"/>
          <w:sz w:val="20"/>
          <w:szCs w:val="20"/>
          <w:color w:val="auto"/>
        </w:rPr>
        <w:t>representing more than 50 percent of the voting power over a five year period (under special provisions in Chapter 40 of the Swedish Income Tax Act; 1999:1229). Such an ownership change results in the forfeiture of tax losses carried forward exceeding 200 percent of the cost of the change of control. In this calculation, capital contributions to the company prior to the ownership change and in the preceding two years should reduce the cost of the change of control. Due to potential ownership changes under the Swedish Income Tax Act, we may be limited in our ability to realize a tax benefit on our deferred tax assets, whether or not we attain profitability in future years.</w:t>
      </w:r>
    </w:p>
    <w:p>
      <w:pPr>
        <w:spacing w:after="0" w:line="20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For U.S. federal income tax purposes, an ownership change will generally occur when the percentage of our stock (by value) owned by one or more “5 percent shareholders” (as defined in the U.S. Internal Revenue Code of 1986, as amended) has increased by more than 50% over the lowest percentage owned by such shareholders at any time during the prior three years (calculated on a rolling basis). We anticipate that we will incur losses in the United States in the foreseeable future related to our research and development activities. Due to potential ownership changes under Section 382 of the Code, we may be limited in our ability to realize a tax benefit from the use of our deferred tax assets, whether or not we attain profitability in future years. We believe the Merger likely resulted in an ownership change under Section 382 of the Code, and, accordingly, our net operating losses and other deferred tax assets are subject to limitations.</w:t>
      </w:r>
    </w:p>
    <w:p>
      <w:pPr>
        <w:spacing w:after="0" w:line="20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 addition, our ability to utilize any future net operating losses may be limited by Pub. L. 115-97, commonly known as the Tax Cuts and Jobs Act of 2017 (“TCJA”). Under the TCJA, as amended by the CARES Act, the amount of our net operating losses incurred in taxable years beginning after December 31, 2020 that we are permitted to deduct in any taxable year is limited to 80% of our taxable income in such year, where taxable income is determined without regard to the net operating loss deduction itself, while allowing unused net operating losses to be carried forward indefinitely. Under the CARES Act, net operating losses arising in taxable years beginning before January 1, 2021 are not subject to the 80% limitation.</w:t>
      </w:r>
    </w:p>
    <w:p>
      <w:pPr>
        <w:spacing w:after="0" w:line="18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color w:val="auto"/>
        </w:rPr>
        <w:t>For these reasons, a material devaluation in our deferred tax assets due to insufficient taxable income, lower corporate income tax rates or ownership change would have an adverse effect on our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taxable income as a result of the purging election made following the Holdco Reorganization</w:t>
      </w:r>
    </w:p>
    <w:p>
      <w:pPr>
        <w:spacing w:after="0" w:line="23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While not entirely clear, we intend to treat Aprea AB as having been a passive foreign investment company, or PFIC, for U.S. federal income tax purposes prior to the Holdco Reorganization and treat the Company as having succeeded to the tax basis and holding periods of those shareholders in Aprea AB that exchanged their shares for our common stock. Based on such treatment, and absent a purging election as described below, the stock of Aprea AB held by the Company would have retained its status as stock of a PFIC with respect to all periods prior to the Holdco Reorganization (the “PFIC Taint”) and therefore, absent a prior election by those shareholders to treat Aprea AB as a qualified electing fund, the Company, would have been subject to certain adverse U.S. federal income tax consequences with respect to distributions received on such stock and gain recognized on the disposition of such stock. In order to purge the PFIC Taint on the stock of Aprea AB, and avoid such adverse tax consequences, following the Holdco Reorganization we made a purging election in the form of a deemed dividend election under which, for U.S. federal income tax purposes, Aprea AB will be deemed to have made a distribution to the Company of all of its current and accumulated earnings and profits as determined for U.S. federal income tax purposes. Because Aprea AB did not have any accumulated or current year earnings and profits as of December 31, 2019, we do not expect the purging election to result in any incremental U.S. federal income taxes.</w:t>
      </w:r>
    </w:p>
    <w:p>
      <w:pPr>
        <w:spacing w:after="0" w:line="213"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current taxation on some of the income of our foreign subsidiaries even absent any cash distributions</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Because we hold directly or indirectly all of the shares of our foreign subsidiaries, including Aprea AB, such subsidiaries are treated as controlled foreign corporations (“CFC”) for U.S. federal income tax purposes. For U.S. federal income tax purposes, the Company will therefore need to include in its taxable income each year Aprea AB’s “subpart F income,” and “global intangible low-taxed income”, if any, even if no distributions are made.</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9700"/>
          </w:cols>
          <w:pgMar w:left="1080" w:top="1066" w:right="1100" w:bottom="542" w:gutter="0" w:footer="0" w:header="0"/>
          <w:type w:val="continuous"/>
        </w:sectPr>
      </w:pPr>
    </w:p>
    <w:bookmarkStart w:id="104" w:name="page105"/>
    <w:bookmarkEnd w:id="104"/>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foreign subsidiaries may directly become subject to U.S. federal income tax and be subject to a branch profits tax in the United States, which could reduce our after-tax returns and the value of our shares.</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We currently intend to conduct substantially all of our businesses and operations in a manner such that our foreign subsidiaries will not be treated as engaged in a trade or business in the United States and will not be subject to additional U.S. income tax or branch profits tax. However, it is not entirely clear when a foreign subsidiary is treated as being engaged in a trade or business in the United States for U.S. federal income tax purposes and travel restrictions may further limit our ability to reduce the risk of our foreign subsidiaries being treated as engaged in a U.S. trade or business. Accordingly, we cannot assure you that the Internal Revenue Service (“IRS”) will not contend, perhaps successfully, that our foreign subsidiaries were engaged in a trade or business in the United States or are subject to more U.S. income tax than they currently incur. A foreign corporation deemed to be so engaged would be subject to U.S. federal income tax, as well as branch profits tax, on its income that is treated as effectively connected with the conduct of that trade or business unless the corporation is entitled to relief under an applicable tax treaty, which is determined on an annual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ongoing effects of the 2017 Tax Cuts and Jobs Act and GILTI could make our results difficult to predict.</w:t>
      </w:r>
    </w:p>
    <w:p>
      <w:pPr>
        <w:spacing w:after="0" w:line="23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effective tax rate may fluctuate in the future as a result of the TCJA, which included significant enacted changes in U.S. income tax law many aspects of which are not entirely clear and with respect to which some guidance has not yet been finalized. The enacted tax legislation included, among other new provisions, a reduction in the corporate tax rate, new limitations on the deductibility of net interest, the base erosion and anti-abuse minimum tax and new rules related to the global intangible low-taxed income of our foreign subsidiaries (“GILTI”). GILTI may require us to include in taxable income certain income of our foreign subsidiaries that are CFCs, though we may be eligible to claim foreign tax credits with respect to some of the taxes paid by such subsidiaries. While the U.S. tax authorities issued proposed and final regulations for GILTI, there are still certain aspects of the TCJA that remain unclear. We will continue to review the impact of GILTI and the other changes resulting from the TCJA as further guidance is issued. Any further guidance may result in changes to the interpretations and assumptions we made and actions we may take, which as a result may impact the amounts recorded with respect to international provisions of the TCJA, possibly materially.</w:t>
      </w:r>
    </w:p>
    <w:p>
      <w:pPr>
        <w:spacing w:after="0" w:line="20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U.S. federal income tax law and other jurisdictions could materially adversely affect an investment in our common shares.</w:t>
      </w:r>
    </w:p>
    <w:p>
      <w:pPr>
        <w:spacing w:after="0" w:line="15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It is possible that tax laws in the United States and other jurisdictions will be changed. It remains difficult to predict whether or when there will be any tax law changes or further guidance by the authorities in the U.S. or elsewhere in the world that will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and principal stockholders may have substantial influence over matters submitted to stockholders for approval. This may prevent new investors from influencing significant corporate decisions.</w:t>
      </w:r>
    </w:p>
    <w:p>
      <w:pPr>
        <w:spacing w:after="0" w:line="15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As of December 31, 2025, our executive officers and directors and our stockholders which own more than 5% of our outstanding common stock beneficially owned shares representing approximately 13.8% of our common stock. As a result, if these stockholders were to choose to act together, they may have substantial influence over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or other significant corporate decisions, on terms that other stockholders may desire.</w:t>
      </w:r>
    </w:p>
    <w:p>
      <w:pPr>
        <w:spacing w:after="0" w:line="19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color w:val="auto"/>
        </w:rPr>
        <w:t>Provisions in our certificate of incorporation and our bylaws may discourage, delay or prevent a merger, acquisition or other change in control of us that stockholders may consider favorable, including transactions in which common</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9700"/>
          </w:cols>
          <w:pgMar w:left="1080" w:top="1066" w:right="1100" w:bottom="542" w:gutter="0" w:footer="0" w:header="0"/>
          <w:type w:val="continuous"/>
        </w:sectPr>
      </w:pPr>
    </w:p>
    <w:bookmarkStart w:id="105" w:name="page106"/>
    <w:bookmarkEnd w:id="105"/>
    <w:p>
      <w:pPr>
        <w:ind w:right="20"/>
        <w:spacing w:after="0" w:line="247" w:lineRule="auto"/>
        <w:rPr>
          <w:sz w:val="20"/>
          <w:szCs w:val="20"/>
          <w:color w:val="auto"/>
        </w:rPr>
      </w:pPr>
      <w:r>
        <w:rPr>
          <w:rFonts w:ascii="Times New Roman" w:cs="Times New Roman" w:eastAsia="Times New Roman" w:hAnsi="Times New Roman"/>
          <w:sz w:val="20"/>
          <w:szCs w:val="20"/>
          <w:color w:val="auto"/>
        </w:rPr>
        <w:t>stockholders might otherwise receive a premium for 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15" w:lineRule="exact"/>
        <w:rPr>
          <w:sz w:val="20"/>
          <w:szCs w:val="20"/>
          <w:color w:val="auto"/>
        </w:rPr>
      </w:pPr>
    </w:p>
    <w:p>
      <w:pPr>
        <w:ind w:left="360" w:hanging="353"/>
        <w:spacing w:after="0"/>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 classified board of directors such that not all members of the board are elected at one time;</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limit the manner in which stockholders can remove directors from the board;</w:t>
      </w:r>
    </w:p>
    <w:p>
      <w:pPr>
        <w:spacing w:after="0" w:line="238" w:lineRule="exact"/>
        <w:rPr>
          <w:rFonts w:ascii="Symbol" w:cs="Symbol" w:eastAsia="Symbol" w:hAnsi="Symbol"/>
          <w:sz w:val="20"/>
          <w:szCs w:val="20"/>
          <w:color w:val="auto"/>
        </w:rPr>
      </w:pPr>
    </w:p>
    <w:p>
      <w:pPr>
        <w:ind w:left="360" w:right="280" w:hanging="353"/>
        <w:spacing w:after="0" w:line="262" w:lineRule="auto"/>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advance notice requirements for stockholder proposals that can be acted on at stockholder meetings and nominations to our board of directors;</w:t>
      </w:r>
    </w:p>
    <w:p>
      <w:pPr>
        <w:spacing w:after="0" w:line="195" w:lineRule="exact"/>
        <w:rPr>
          <w:rFonts w:ascii="Symbol" w:cs="Symbol" w:eastAsia="Symbol" w:hAnsi="Symbol"/>
          <w:sz w:val="20"/>
          <w:szCs w:val="20"/>
          <w:color w:val="auto"/>
        </w:rPr>
      </w:pPr>
    </w:p>
    <w:p>
      <w:pPr>
        <w:ind w:left="360" w:right="300" w:hanging="353"/>
        <w:spacing w:after="0" w:line="262" w:lineRule="auto"/>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238" w:lineRule="exact"/>
        <w:rPr>
          <w:rFonts w:ascii="Symbol" w:cs="Symbol" w:eastAsia="Symbol" w:hAnsi="Symbol"/>
          <w:sz w:val="20"/>
          <w:szCs w:val="20"/>
          <w:color w:val="auto"/>
        </w:rPr>
      </w:pPr>
    </w:p>
    <w:p>
      <w:pPr>
        <w:ind w:left="360" w:right="400" w:hanging="353"/>
        <w:spacing w:after="0" w:line="251" w:lineRule="auto"/>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07" w:lineRule="exact"/>
        <w:rPr>
          <w:rFonts w:ascii="Symbol" w:cs="Symbol" w:eastAsia="Symbol" w:hAnsi="Symbol"/>
          <w:sz w:val="20"/>
          <w:szCs w:val="20"/>
          <w:color w:val="auto"/>
        </w:rPr>
      </w:pPr>
    </w:p>
    <w:p>
      <w:pPr>
        <w:ind w:left="360" w:right="160" w:hanging="353"/>
        <w:spacing w:after="0" w:line="262" w:lineRule="auto"/>
        <w:tabs>
          <w:tab w:leader="none" w:pos="36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the approval of the holders of at least 75% of the votes that all our stockholders would be entitled to cast to amend or repeal certain provisions of our charter or bylaws.</w:t>
      </w:r>
    </w:p>
    <w:p>
      <w:pPr>
        <w:spacing w:after="0" w:line="18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3"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or do not continue to publish research or reports about our business or if they publish negative evaluations of our business, the price of our stock could decline.</w:t>
      </w:r>
    </w:p>
    <w:p>
      <w:pPr>
        <w:spacing w:after="0" w:line="15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trading market for our common stock is and will rely in part on the research and reports that industry or financial analysts publish about us or our business. If one or more of the analysts who currently cover our business downgrade their evaluations of our business, or in the event we obtain additional coverage and one or more of the new analysts issues an adverse evaluation of our business, the price of our stock could decline. If one or more of these analysts cease to cover our stock, we could lose visibility in the market for our stock, which in turn could cause our stock price to decline.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has been and may continue to be volatile and fluctuate substantially.</w:t>
      </w:r>
    </w:p>
    <w:p>
      <w:pPr>
        <w:spacing w:after="0" w:line="2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stock price has been and is likely to continue to be volatile. The stock market in general and the market for pharmaceutical and biotechnology companies in particular have experienced extreme volatility that has often been unrelated to the operating performance of particular companies. As a result of this volatility, our stockholders may not be able to sell our common stock at or above the price they paid for it. The market price for our common stock may be influenced by many factors, including:</w:t>
      </w:r>
    </w:p>
    <w:p>
      <w:pPr>
        <w:spacing w:after="0" w:line="212" w:lineRule="exact"/>
        <w:rPr>
          <w:sz w:val="20"/>
          <w:szCs w:val="20"/>
          <w:color w:val="auto"/>
        </w:rPr>
      </w:pPr>
    </w:p>
    <w:p>
      <w:pPr>
        <w:ind w:left="360" w:hanging="353"/>
        <w:spacing w:after="0"/>
        <w:tabs>
          <w:tab w:leader="none" w:pos="36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and results of clinical trials of APR-1051 or ATRN-119 and any of our other product candidates;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9700"/>
          </w:cols>
          <w:pgMar w:left="1080" w:top="1066" w:right="1100" w:bottom="542" w:gutter="0" w:footer="0" w:header="0"/>
          <w:type w:val="continuous"/>
        </w:sectPr>
      </w:pPr>
    </w:p>
    <w:bookmarkStart w:id="106" w:name="page107"/>
    <w:bookmarkEnd w:id="106"/>
    <w:p>
      <w:pPr>
        <w:ind w:left="360" w:right="200" w:hanging="353"/>
        <w:spacing w:after="0" w:line="251" w:lineRule="auto"/>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current voluntary pause on further patient enrollment in both once daily and twice daily monotherapy dosing arms of ABOYA-119 and the orderly wind-down of certain clinical trial site activities associated with the monotherapy arms as we explore ATTN-119 in potential combination approaches;</w:t>
      </w:r>
    </w:p>
    <w:p>
      <w:pPr>
        <w:spacing w:after="0" w:line="208"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actions with respect to our product candidates or our competitors’ products and product candidates;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existing or new competitive products or technologies;</w:t>
      </w:r>
    </w:p>
    <w:p>
      <w:pPr>
        <w:spacing w:after="0" w:line="239" w:lineRule="exact"/>
        <w:rPr>
          <w:rFonts w:ascii="Symbol" w:cs="Symbol" w:eastAsia="Symbol" w:hAnsi="Symbol"/>
          <w:sz w:val="20"/>
          <w:szCs w:val="20"/>
          <w:color w:val="auto"/>
        </w:rPr>
      </w:pPr>
    </w:p>
    <w:p>
      <w:pPr>
        <w:ind w:left="360" w:right="780" w:hanging="353"/>
        <w:spacing w:after="0" w:line="262" w:lineRule="auto"/>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joint ventures, collaborations or capital commitments;</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establishment or termination of collaborations for our product candidates or development programs;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or discontinuation of any of our development programs;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results of clinical trials of product candidates of our competitors;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level of expenses related to any of our product candidates or development programs;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results of our efforts to discover, develop, acquire or in-license additional product candidates or products;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actual or anticipated changes in estimates as to financial results or development timelines;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 or expectation of additional financing efforts;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sales of our common stock by us, our insiders or other stockholders;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estimates or recommendations by securities analysts, if any, that cover our stock;</w:t>
      </w:r>
    </w:p>
    <w:p>
      <w:pPr>
        <w:spacing w:after="0" w:line="238" w:lineRule="exact"/>
        <w:rPr>
          <w:rFonts w:ascii="Symbol" w:cs="Symbol" w:eastAsia="Symbol" w:hAnsi="Symbol"/>
          <w:sz w:val="20"/>
          <w:szCs w:val="20"/>
          <w:color w:val="auto"/>
        </w:rPr>
      </w:pPr>
    </w:p>
    <w:p>
      <w:pPr>
        <w:ind w:left="360" w:hanging="352"/>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239" w:lineRule="exact"/>
        <w:rPr>
          <w:rFonts w:ascii="Symbol" w:cs="Symbol" w:eastAsia="Symbol" w:hAnsi="Symbol"/>
          <w:sz w:val="20"/>
          <w:szCs w:val="20"/>
          <w:color w:val="auto"/>
        </w:rPr>
      </w:pPr>
    </w:p>
    <w:p>
      <w:pPr>
        <w:ind w:left="360" w:hanging="352"/>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238" w:lineRule="exact"/>
        <w:rPr>
          <w:rFonts w:ascii="Symbol" w:cs="Symbol" w:eastAsia="Symbol" w:hAnsi="Symbol"/>
          <w:sz w:val="20"/>
          <w:szCs w:val="20"/>
          <w:color w:val="auto"/>
        </w:rPr>
      </w:pPr>
    </w:p>
    <w:p>
      <w:pPr>
        <w:ind w:left="360" w:hanging="352"/>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economic, industry and market conditions; and</w:t>
      </w:r>
    </w:p>
    <w:p>
      <w:pPr>
        <w:spacing w:after="0" w:line="239" w:lineRule="exact"/>
        <w:rPr>
          <w:rFonts w:ascii="Symbol" w:cs="Symbol" w:eastAsia="Symbol" w:hAnsi="Symbol"/>
          <w:sz w:val="20"/>
          <w:szCs w:val="20"/>
          <w:color w:val="auto"/>
        </w:rPr>
      </w:pPr>
    </w:p>
    <w:p>
      <w:pPr>
        <w:ind w:left="360" w:hanging="352"/>
        <w:spacing w:after="0"/>
        <w:tabs>
          <w:tab w:leader="none" w:pos="36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other factors described in this “Risk Factors” section.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securities class action litigation.</w:t>
      </w:r>
    </w:p>
    <w:p>
      <w:pPr>
        <w:spacing w:after="0" w:line="2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ectPr>
          <w:pgSz w:w="11880" w:h="15480" w:orient="portrait"/>
          <w:cols w:equalWidth="0" w:num="1">
            <w:col w:w="9560"/>
          </w:cols>
          <w:pgMar w:left="1080" w:top="1081" w:right="12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9560"/>
          </w:cols>
          <w:pgMar w:left="1080" w:top="1081" w:right="1240" w:bottom="542" w:gutter="0" w:footer="0" w:header="0"/>
          <w:type w:val="continuous"/>
        </w:sectPr>
      </w:pPr>
    </w:p>
    <w:bookmarkStart w:id="107" w:name="page108"/>
    <w:bookmarkEnd w:id="107"/>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the reduced disclosure requirements applicable to smaller reporting companies may make our common stock less attractive to investors.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1, 2025, we are no longer an “emerging growth company,” as defined in the Jumpstart Our Business 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2012, of the JOBS Act. However, we remain a “smaller reporting company,” as such term is defined in Rule 12b-2 of</w:t>
      </w:r>
    </w:p>
    <w:p>
      <w:pPr>
        <w:spacing w:after="0"/>
        <w:rPr>
          <w:sz w:val="20"/>
          <w:szCs w:val="20"/>
          <w:color w:val="auto"/>
        </w:rPr>
      </w:pPr>
      <w:r>
        <w:rPr>
          <w:rFonts w:ascii="Times New Roman" w:cs="Times New Roman" w:eastAsia="Times New Roman" w:hAnsi="Times New Roman"/>
          <w:sz w:val="20"/>
          <w:szCs w:val="20"/>
          <w:color w:val="auto"/>
        </w:rPr>
        <w:t>the Exchange Act, meaning that the market value of our common stock held by non-affiliates is less than $700 million</w:t>
      </w:r>
    </w:p>
    <w:p>
      <w:pPr>
        <w:spacing w:after="0"/>
        <w:rPr>
          <w:sz w:val="20"/>
          <w:szCs w:val="20"/>
          <w:color w:val="auto"/>
        </w:rPr>
      </w:pPr>
      <w:r>
        <w:rPr>
          <w:rFonts w:ascii="Times New Roman" w:cs="Times New Roman" w:eastAsia="Times New Roman" w:hAnsi="Times New Roman"/>
          <w:sz w:val="20"/>
          <w:szCs w:val="20"/>
          <w:color w:val="auto"/>
        </w:rPr>
        <w:t>and our annual revenue is less than $100 million during the most recently completed fiscal year. We may continue to be</w:t>
      </w:r>
    </w:p>
    <w:p>
      <w:pPr>
        <w:spacing w:after="0"/>
        <w:rPr>
          <w:sz w:val="20"/>
          <w:szCs w:val="20"/>
          <w:color w:val="auto"/>
        </w:rPr>
      </w:pPr>
      <w:r>
        <w:rPr>
          <w:rFonts w:ascii="Times New Roman" w:cs="Times New Roman" w:eastAsia="Times New Roman" w:hAnsi="Times New Roman"/>
          <w:sz w:val="20"/>
          <w:szCs w:val="20"/>
          <w:color w:val="auto"/>
        </w:rPr>
        <w:t>a smaller reporting company if either (i) the market value of our common stock held by non-affiliates is less than</w:t>
      </w:r>
    </w:p>
    <w:p>
      <w:pPr>
        <w:spacing w:after="0"/>
        <w:rPr>
          <w:sz w:val="20"/>
          <w:szCs w:val="20"/>
          <w:color w:val="auto"/>
        </w:rPr>
      </w:pPr>
      <w:r>
        <w:rPr>
          <w:rFonts w:ascii="Times New Roman" w:cs="Times New Roman" w:eastAsia="Times New Roman" w:hAnsi="Times New Roman"/>
          <w:sz w:val="20"/>
          <w:szCs w:val="20"/>
          <w:color w:val="auto"/>
        </w:rPr>
        <w:t>$250 million or (ii) our annual revenue is less than $100 million during the most recently completed fiscal year and the</w:t>
      </w:r>
    </w:p>
    <w:p>
      <w:pPr>
        <w:spacing w:after="0"/>
        <w:rPr>
          <w:sz w:val="20"/>
          <w:szCs w:val="20"/>
          <w:color w:val="auto"/>
        </w:rPr>
      </w:pPr>
      <w:r>
        <w:rPr>
          <w:rFonts w:ascii="Times New Roman" w:cs="Times New Roman" w:eastAsia="Times New Roman" w:hAnsi="Times New Roman"/>
          <w:sz w:val="20"/>
          <w:szCs w:val="20"/>
          <w:color w:val="auto"/>
        </w:rPr>
        <w:t>market value of our common stock held by non-affiliates is less than $700 million. As a smaller reporting company, we</w:t>
      </w:r>
    </w:p>
    <w:p>
      <w:pPr>
        <w:spacing w:after="0"/>
        <w:rPr>
          <w:sz w:val="20"/>
          <w:szCs w:val="20"/>
          <w:color w:val="auto"/>
        </w:rPr>
      </w:pPr>
      <w:r>
        <w:rPr>
          <w:rFonts w:ascii="Times New Roman" w:cs="Times New Roman" w:eastAsia="Times New Roman" w:hAnsi="Times New Roman"/>
          <w:sz w:val="20"/>
          <w:szCs w:val="20"/>
          <w:color w:val="auto"/>
        </w:rPr>
        <w:t>may continue to rely on exemptions from certain disclosure requirements that are available to smaller reporting</w:t>
      </w:r>
    </w:p>
    <w:p>
      <w:pPr>
        <w:spacing w:after="0"/>
        <w:rPr>
          <w:sz w:val="20"/>
          <w:szCs w:val="20"/>
          <w:color w:val="auto"/>
        </w:rPr>
      </w:pPr>
      <w:r>
        <w:rPr>
          <w:rFonts w:ascii="Times New Roman" w:cs="Times New Roman" w:eastAsia="Times New Roman" w:hAnsi="Times New Roman"/>
          <w:sz w:val="20"/>
          <w:szCs w:val="20"/>
          <w:color w:val="auto"/>
        </w:rPr>
        <w:t>companies. Specifically, as a smaller reporting company we may choose to present only the two most recent fiscal years</w:t>
      </w:r>
    </w:p>
    <w:p>
      <w:pPr>
        <w:spacing w:after="0"/>
        <w:rPr>
          <w:sz w:val="20"/>
          <w:szCs w:val="20"/>
          <w:color w:val="auto"/>
        </w:rPr>
      </w:pPr>
      <w:r>
        <w:rPr>
          <w:rFonts w:ascii="Times New Roman" w:cs="Times New Roman" w:eastAsia="Times New Roman" w:hAnsi="Times New Roman"/>
          <w:sz w:val="20"/>
          <w:szCs w:val="20"/>
          <w:color w:val="auto"/>
        </w:rPr>
        <w:t>of audited financial statements in our Annual Report on Form 10-K and smaller reporting companies have reduced</w:t>
      </w:r>
    </w:p>
    <w:p>
      <w:pPr>
        <w:spacing w:after="0"/>
        <w:rPr>
          <w:sz w:val="20"/>
          <w:szCs w:val="20"/>
          <w:color w:val="auto"/>
        </w:rPr>
      </w:pPr>
      <w:r>
        <w:rPr>
          <w:rFonts w:ascii="Times New Roman" w:cs="Times New Roman" w:eastAsia="Times New Roman" w:hAnsi="Times New Roman"/>
          <w:sz w:val="20"/>
          <w:szCs w:val="20"/>
          <w:color w:val="auto"/>
        </w:rPr>
        <w:t>disclosure obligations regarding executive compensation.</w:t>
      </w:r>
    </w:p>
    <w:p>
      <w:pPr>
        <w:spacing w:after="0" w:line="2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continue to incur increased costs as a result of operating as a public company as we become subject to additional laws, regulations and listing exchange standards, and our management will continue to be required to devote substantial time to new compliance initiatives.</w:t>
      </w:r>
    </w:p>
    <w:p>
      <w:pPr>
        <w:spacing w:after="0" w:line="17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As a public company, and particularly after we no longer are a “smaller reporting company,” we will incur significant legal, accounting and other expenses that we did not incur as a private company. In addition, the Sarbanes-Oxley</w:t>
      </w:r>
    </w:p>
    <w:p>
      <w:pPr>
        <w:spacing w:after="0" w:line="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Pursuant to Section 404 Sarbanes-Oxley Act of 2002, we are required to furnish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03"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Accounting principles and related pronouncements, implementation guidelines and interpretations we apply to a wide range of matters that are relevant to our business, including, but not limited to, revenue recognition, leases and stock-based compensation, are complex and involve subjective assumptions, estimates and judgments by our management. Changes in accounting pronouncements or their interpretation or changes in underlying assumptions, estimates or judgments by our management could significantly change our reported or expected financial performance.</w:t>
      </w:r>
    </w:p>
    <w:p>
      <w:pPr>
        <w:spacing w:after="0" w:line="197"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common stock for the foreseeable future, capital appreciation, if any, of our common stock may be investors’ sole source of gain.</w:t>
      </w:r>
    </w:p>
    <w:p>
      <w:pPr>
        <w:spacing w:after="0" w:line="157" w:lineRule="exact"/>
        <w:rPr>
          <w:sz w:val="20"/>
          <w:szCs w:val="20"/>
          <w:color w:val="auto"/>
        </w:rPr>
      </w:pPr>
    </w:p>
    <w:p>
      <w:pPr>
        <w:ind w:right="400"/>
        <w:spacing w:after="0" w:line="305" w:lineRule="auto"/>
        <w:rPr>
          <w:sz w:val="20"/>
          <w:szCs w:val="20"/>
          <w:color w:val="auto"/>
        </w:rPr>
      </w:pPr>
      <w:r>
        <w:rPr>
          <w:rFonts w:ascii="Times New Roman" w:cs="Times New Roman" w:eastAsia="Times New Roman" w:hAnsi="Times New Roman"/>
          <w:sz w:val="19"/>
          <w:szCs w:val="19"/>
          <w:color w:val="auto"/>
        </w:rPr>
        <w:t>We have never declared or paid cash dividends on our common stock. We currently intend to retain all of our future earnings, if any, to finance the growth and development of our business. In addition, the terms of any future debt</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9680"/>
          </w:cols>
          <w:pgMar w:left="1080" w:top="1066" w:right="1120" w:bottom="542" w:gutter="0" w:footer="0" w:header="0"/>
          <w:type w:val="continuous"/>
        </w:sectPr>
      </w:pPr>
    </w:p>
    <w:bookmarkStart w:id="108" w:name="page109"/>
    <w:bookmarkEnd w:id="108"/>
    <w:p>
      <w:pPr>
        <w:ind w:right="200"/>
        <w:spacing w:after="0" w:line="278" w:lineRule="auto"/>
        <w:rPr>
          <w:sz w:val="20"/>
          <w:szCs w:val="20"/>
          <w:color w:val="auto"/>
        </w:rPr>
      </w:pPr>
      <w:r>
        <w:rPr>
          <w:rFonts w:ascii="Times New Roman" w:cs="Times New Roman" w:eastAsia="Times New Roman" w:hAnsi="Times New Roman"/>
          <w:sz w:val="20"/>
          <w:szCs w:val="20"/>
          <w:color w:val="auto"/>
        </w:rPr>
        <w:t>agreements may preclude us from paying dividends. As a result, capital appreciation, if any, of our common stock will be investors’ sole source of gain for the foreseeable future.</w:t>
      </w:r>
    </w:p>
    <w:p>
      <w:pPr>
        <w:spacing w:after="0" w:line="16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by our existing stockholders in the public market could cause our stock price to fall.</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officers and employees.</w:t>
      </w:r>
    </w:p>
    <w:p>
      <w:pPr>
        <w:spacing w:after="0" w:line="18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under Delaware law, any action asserting a claim of breach of a fiduciary duty owed by any of our directors, officers or employees to our company or our stockholders, any action asserting a claim against us arising pursuant to any provision of the Delaware General Corporation Law or our certificate of incorporation or bylaws, any action asserting a claim against us governed by the internal affairs doctrine, or any other action asserting an “internal corporate claim,” as defined in Section 115 of the Delaware General Corporation Law. These exclusive-forum provisions do not apply to claims under the Securities Act of 1933, as amended, or the Securities Act, or the Exchange Act.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the exclusive-forum provision in our certificate of incorporation to be inapplicable or unenforceable in an action, we may incur additional costs associated with resolving the dispute in other jurisdictions, which could harm our results of operations.</w:t>
      </w:r>
    </w:p>
    <w:p>
      <w:pPr>
        <w:spacing w:after="0" w:line="2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meet the Nasdaq Stock Market, or Nasdaq, continued listing requirements and other Nasdaq rules, and if we fail to meet such rules and requirements, we may be subject to delisting. Delisting could negatively affect the price of our common stock, which could make it more difficult for us to sell securities in a future financing or for you to sell our common stock.</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We are required to meet the continued listing requirements of Nasdaq and other Nasdaq rules, including those regarding director independence and independent committee requirements, minimum stockholders’ equity, minimum share price and certain other corporate governance requirements.</w:t>
      </w:r>
    </w:p>
    <w:p>
      <w:pPr>
        <w:spacing w:after="0" w:line="18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continued listing standards of Nasdaq applicable to the Nasdaq Capital Market require, among other things, that the minimum price of a listed company’s stock be at or above $1.00. If the minimum bid price is below $1.00 for a period of more than 30 consecutive trading days, the listed company will fail to be in compliance with Nasdaq’s listing rules and, if the listed company does not regain compliance within a 180-day grace period, it may be subject to delisting. In order to regain compliance, the bid price of the listed company’s common stock must close at a price of at least $1.00 per share for a minimum of 10 consecutive trading days within a 180-day grace period. On January 23, 2026, we received a deficiency letter from Nasdaq notifying us that, for the last 30 consecutive business days, the closing bid price for our common stock was below the minimum $1.00 per share required for continued listing on The Nasdaq Capital Market pursuant to Nasdaq Listing Rule 5550(a)(2). The letter also indicated that, pursuant to Nasdaq Listing Rule 5810(c)(3)(A), we would be afforded 180 calendar days to regain compliance with the bid price requirement. There can be no assurance that we will regain compliance with the minimum bid price requirement or, if we do so, that we will maintain compliance with the minimum bid price requirement or any other Nasdaq listing standards.</w:t>
      </w:r>
    </w:p>
    <w:p>
      <w:pPr>
        <w:spacing w:after="0" w:line="205"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9"/>
          <w:szCs w:val="19"/>
          <w:color w:val="auto"/>
        </w:rPr>
        <w:t>If we fail to regain compliance with the minimum bid price requirement or other Nasdaq listing standards, our common stock will be subject to delisting. Delisting from Nasdaq could adversely affect our ability to raise additional financing</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9700"/>
          </w:cols>
          <w:pgMar w:left="1080" w:top="1066" w:right="1100" w:bottom="542" w:gutter="0" w:footer="0" w:header="0"/>
          <w:type w:val="continuous"/>
        </w:sectPr>
      </w:pPr>
    </w:p>
    <w:bookmarkStart w:id="109" w:name="page110"/>
    <w:bookmarkEnd w:id="109"/>
    <w:p>
      <w:pPr>
        <w:spacing w:after="0" w:line="242" w:lineRule="auto"/>
        <w:rPr>
          <w:sz w:val="20"/>
          <w:szCs w:val="20"/>
          <w:color w:val="auto"/>
        </w:rPr>
      </w:pPr>
      <w:r>
        <w:rPr>
          <w:rFonts w:ascii="Times New Roman" w:cs="Times New Roman" w:eastAsia="Times New Roman" w:hAnsi="Times New Roman"/>
          <w:sz w:val="20"/>
          <w:szCs w:val="20"/>
          <w:color w:val="auto"/>
        </w:rPr>
        <w:t>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Delisting could also cause us to pursue eligibility for trading of securities on other markets or exchanges, including the OTC BB or QB markets, or on the OTC “pink sheets.” In such case, our stockholders’ ability to trade, or obtain quotations of the market value of our common stock would be severely limited because of lower trading volumes and transaction delays. These factors could contribute to lower prices and larger spreads in the bid and ask prices of our securities. There can be no assurance that our securities, if delisted from the Nasdaq Capital Market in the future, would be listed on a national securities exchange, a national quotation service, the OTC markets or the pink sheets. Delisting from Nasdaq would also result in negative publicity, make it more difficult for us to raise additional capital, cause us to lose eligibility to register the sale or resale of our shares on Form S-3 and the automatic exemption from registration under state securities laws for exchange-listed securities, adversely affect the market liquidity of our securities, decrease securities analysts’ coverage of us or diminish investor, supplier and employee confidence.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0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are a clinical-stage biopharmaceutical company and we are solely focused on developing novel synthetic lethality-based cancer therapeutics that target DNA damage response pathways. Therefore, we do not consider that we face significant cybersecurity risk and have not adopted a formal cybersecurity risk management program or process for assessing cybersecurity risk currently. We assess material risks from cybersecurity threats on an ongoing basis, including any potential unauthorized access to or occurrence on or conducted through our information systems that may result in adverse effects on the confidentiality, integrity, or availability of our information systems or any information residing therein. To this end, we utilize an outsourced information technology consultant, who we believe has sufficient experience and expertise with regard to cybersecurity matters, to implement systems and procedures designed to reduce, respond to and monitor for cybersecurity threats and vulnerabilities. Our outsourced information technology consultant conducts proactive patching and monitoring of all of our existing systems and has implemented systems and procedures to mitigate cybersecurity risks that we believe are appropriate for a company of our size, stage of growth and financial condition. In addition, we carry insurance with coverage for cyber events that we believe is suitable for a company of our size, stage of growth and financial condition.</w:t>
      </w:r>
    </w:p>
    <w:p>
      <w:pPr>
        <w:spacing w:after="0" w:line="16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 xml:space="preserve">As of the date of this Annual Report on Form 10-K, we are not aware of any cybersecurity threats, including as a result of any previous cybersecurity incidents, that have materially affected us, including our business strategy, results of operations or financial condition. However, as discussed under “Risk Factors” in Part I, Item 1A of this Annual Report, cybersecurity threats pose multiple risks to us, including potentially to our results of operations and financial condition. For additional information concerning risks related to cybersecurity, </w:t>
      </w:r>
      <w:r>
        <w:rPr>
          <w:rFonts w:ascii="Times New Roman" w:cs="Times New Roman" w:eastAsia="Times New Roman" w:hAnsi="Times New Roman"/>
          <w:sz w:val="20"/>
          <w:szCs w:val="20"/>
          <w:i w:val="1"/>
          <w:iCs w:val="1"/>
          <w:color w:val="auto"/>
        </w:rPr>
        <w:t>see</w:t>
      </w:r>
      <w:r>
        <w:rPr>
          <w:rFonts w:ascii="Times New Roman" w:cs="Times New Roman" w:eastAsia="Times New Roman" w:hAnsi="Times New Roman"/>
          <w:sz w:val="20"/>
          <w:szCs w:val="20"/>
          <w:color w:val="auto"/>
        </w:rPr>
        <w:t xml:space="preserve"> Item 1.A. </w:t>
      </w:r>
      <w:r>
        <w:rPr>
          <w:rFonts w:ascii="Times New Roman" w:cs="Times New Roman" w:eastAsia="Times New Roman" w:hAnsi="Times New Roman"/>
          <w:sz w:val="20"/>
          <w:szCs w:val="20"/>
          <w:i w:val="1"/>
          <w:iCs w:val="1"/>
          <w:color w:val="auto"/>
        </w:rPr>
        <w:t>Risk Factors: “Our business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operations would suffer in the event of IT system failures, cybersecurity attacks, data breaches, or vulnerabilities in our or our third-party vendors’ information security program or defenses.</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19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Management is responsible for the day-to-day management of the risks we face, while our Board of Directors as a whole has responsibility for the oversight of risk management, including as to material risks from cybersecurity threats. In its risk oversight role, our Board of Directors has the responsibility to satisfy itself that the risk management processes designed and implemented by management are appropriate and functioning as designed. The Board of Directors has delegated to the Audit Committee of the Board of Directors the responsibility for the oversight of information technology (including cybersecurity) risks. In general, we seek to address cybersecurity risks through a cross-functional approach that is focused on preserving the confidentiality, integrity, and availability of the information that we collect</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9720"/>
          </w:cols>
          <w:pgMar w:left="1080" w:top="1066" w:right="1080" w:bottom="542" w:gutter="0" w:footer="0" w:header="0"/>
          <w:type w:val="continuous"/>
        </w:sectPr>
      </w:pPr>
    </w:p>
    <w:bookmarkStart w:id="110" w:name="page111"/>
    <w:bookmarkEnd w:id="110"/>
    <w:p>
      <w:pPr>
        <w:ind w:right="280"/>
        <w:spacing w:after="0" w:line="278" w:lineRule="auto"/>
        <w:rPr>
          <w:sz w:val="20"/>
          <w:szCs w:val="20"/>
          <w:color w:val="auto"/>
        </w:rPr>
      </w:pPr>
      <w:r>
        <w:rPr>
          <w:rFonts w:ascii="Times New Roman" w:cs="Times New Roman" w:eastAsia="Times New Roman" w:hAnsi="Times New Roman"/>
          <w:sz w:val="20"/>
          <w:szCs w:val="20"/>
          <w:color w:val="auto"/>
        </w:rPr>
        <w:t>and store by identifying, preventing, and mitigating cybersecurity threats and effectively responding to cybersecurity incidents when they occur.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have a facility in Doylestown, Pennsylvania which consists of office and laboratory space of approximately 1,550 square feet under an operating lease agreement that expires in October 2026. We believe that our current facilities are suitable and adequate to meet our current needs. We believe that suitable additional or substitute space will be available as needed to accommodate any potential expansion of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There are no matters which constitute material pending legal proceedings to which we are a party other than those incorporated into this item by reference to Note 9 of the section of this Annual Report on Form 10-K in Item 8, entitled “Financial Statements and Supplementary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640"/>
          </w:cols>
          <w:pgMar w:left="1080" w:top="1066" w:right="116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9640"/>
          </w:cols>
          <w:pgMar w:left="1080" w:top="1066" w:right="1160" w:bottom="542"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Information and Holders of Record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Capital Market under the symbol "APRE".</w:t>
      </w:r>
    </w:p>
    <w:p>
      <w:pPr>
        <w:spacing w:after="0" w:line="239"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20"/>
          <w:szCs w:val="20"/>
          <w:color w:val="auto"/>
        </w:rPr>
        <w:t>As of March 16, 2026, we had approximately 132 holders of record of our common stock. The actual number of shareholders is greater than this number of record holders and includes shareholders who are beneficial owners but whose shares are held in street name by brokers and other nominees. The number of holders of record also does not include shareholders whose shares may be held in trust by other entities.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2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have never declared or paid a cash dividend on our capital stock. We currently intend to retain any future earnings and do not expect to pay any dividends in the foreseeable future. Any future determinations to pay cash dividends will be made at the discretion of our board of directors, subject to applicable laws, and will depend on a number of factors, including our financial condition, results of operations, capital requirements, contractual restrictions, general business conditions, and any other factors that our board may deem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Securities Authorized for Issuance under Equity Compensation Plans</w:t>
      </w:r>
    </w:p>
    <w:p>
      <w:pPr>
        <w:spacing w:after="0" w:line="23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Information regarding the Securities Authorized for Issuance under our Equity Compensation Plans will be included in an amendment to this Annual Report in Form 10-K or incorporated by reference from our definitive proxy statement to be filed pursuant to Rule 14A.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Performance Graph</w:t>
      </w:r>
    </w:p>
    <w:p>
      <w:pPr>
        <w:spacing w:after="0" w:line="23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color w:val="auto"/>
        </w:rPr>
        <w:t>As a smaller reporting company, we are not required to provide the information requested by this item pursuant to Item 201 of Regulation S-K.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Unregistered sales of equity securities</w:t>
      </w:r>
    </w:p>
    <w:p>
      <w:pPr>
        <w:spacing w:after="0" w:line="238"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0"/>
          <w:szCs w:val="20"/>
          <w:color w:val="auto"/>
        </w:rPr>
        <w:t>In October 2025, we issued 20,000, 5,000 and 2,500 shares of our common stock, par value $0.001 per share, respectively, to three consultants in consideration for bona fide services rendered to us (collectively, the “Consultant Issuances”). The Consultant Issuances were made pursuant to actions approved by our Board of Directors on October 11, 2025.</w:t>
      </w:r>
    </w:p>
    <w:p>
      <w:pPr>
        <w:spacing w:after="0" w:line="19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foregoing shares were issued in private transactions exempt from the registration requirements of the Securities Act of 1933, as amended (the “Securities Act”), in reliance upon Section 4(a)(2) thereof and/or Rule 506 of Regulation D promulgated thereunder, as transactions not involving a public offering. Each consultant represented, among other things, that they were acquiring the securities for investment and not with a view to distribution, and either was an “accredited investor” within the meaning of Rule 501(a) of Regulation D or, to the extent applicable, possessed such knowledge and experience in financial and business matters that they were capable of evaluating the merits and risks of the investment. The issuances did not involve any general solicitation or general advertising. The securities issued have not been registered under the Securities Act and were issued as “restricted securities” as defined in Rule 144 under the Securities Act, and appropriate restrictive legends were affixed to the certificates or book entry statements evidencing such securities. No underwriting discounts or commissions were paid, and no underwriters were involved in the transactions.</w:t>
      </w:r>
    </w:p>
    <w:p>
      <w:pPr>
        <w:spacing w:after="0" w:line="209"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20"/>
          <w:szCs w:val="20"/>
          <w:color w:val="auto"/>
        </w:rPr>
        <w:t>There were no other unregistered sales of equity securities during the period covered by this report that were not previously disclosed in a Current Report on Form 8 K.</w:t>
      </w:r>
    </w:p>
    <w:p>
      <w:pPr>
        <w:sectPr>
          <w:pgSz w:w="11880" w:h="15480" w:orient="portrait"/>
          <w:cols w:equalWidth="0" w:num="1">
            <w:col w:w="9700"/>
          </w:cols>
          <w:pgMar w:left="1080" w:top="1062" w:right="1100" w:bottom="542"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9700"/>
          </w:cols>
          <w:pgMar w:left="1080" w:top="1062" w:right="1100" w:bottom="542"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i w:val="1"/>
          <w:iCs w:val="1"/>
          <w:color w:val="auto"/>
        </w:rPr>
        <w:t>Repurchases of equity securities by the issuer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were no share repurchases during the year ended December 31,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9360"/>
          </w:cols>
          <w:pgMar w:left="1080" w:top="1069" w:right="14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9360"/>
          </w:cols>
          <w:pgMar w:left="1080" w:top="1069" w:right="1440" w:bottom="542"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5"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financial condition and results of operations is provided to enhance the understanding of, and should be read in conjunction with Part I, Item I, “Business” and Item 8, ‘Financial Statements and Supplementary Data.” For information on risks and uncertainties related to our business that may make past performance not indicative of future results or cause actual results to differ materially from any forward-looking statements, see “Special Note Regarding Forward-Looking Statements,” and Part I, Item 1A, ‘Risk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We are a clinical-stage biopharmaceutical company focused on precision oncology through synthetic lethality. Our approach is built upon a platform of integrated discovery technologies to enrich our pipeline with novel targets in synthetic lethality and cancer treatment. Together with our expertise in small molecule drug discovery, we are applying the capabilities of our discovery platform to the development of new precision oncology therapies and the identification of patient populations most likely to benefit.</w:t>
      </w:r>
    </w:p>
    <w:p>
      <w:pPr>
        <w:spacing w:after="0" w:line="19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We believe that synthetic lethality has the potential to impact patients’ lives and treatment strategies for a wide range of cancer types. We aspire to become a leader in this emerging field and are establishing a pipeline of clinical and preclinical programs that we believe may have broad application to cancer treatment.</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are targeting WEE1, a kinase that is a key regulator of multiple phases of the cell cycle. Our lead WEE1 inhibitor product candidate is APR-1051. In March 2024, our IND for APR-1051 (IND 169359) went into effect and in the second quarter of 2024 we enrolled the first patient into ACESOT-1051, our Phase 1 dose escalation study. Preliminary results provide early clinical proof -of- concept of APR- 1051. A potential dose-response trend was observed, with increasing single-agent activity across the 70 mg, 100 mg, 150 mg and 220 mg cohorts. On January 29, 2026, we announced the first unconfirmed partial response (uPR) observed in a patient enrolled in the ongoing Phase 1 ACESOT-1051 dose-escalation study: a patient with PPP2R1A-mutated uterine serous carcinoma, a form of endometrial cancer, treated at the 150 mg dose level of APR-1051. At the protocol-defined 8-week first imaging assessment, the patient achieved a 50% reduction in target lesion size per RECIST v1.1 criteria, along with a marked reduction in cancer antigen 125 (CA-125) levels, from 732 to 70 U/mL. CA-125 is a well-recognized tumor marker in endometrial cancer. On February 18, 2026, we announced the second uPR observed in a patient with PPP2R1A-mutated endometrial cancer, treated at the 220 mg dose level: at the first imaging assessment the patient achieved a 50% reduction in target lesion size, along with a marked decline in CA-125 from 362 at baseline to 47 U/mL, further supporting the anti-tumor activity of APR-1051. In addition, preliminary results from the ACESOT-1051 study indicate that APR-1051 has been safe and well-tolerated to date, supporting our development strategy to differentiate WEE1 inhibition through a potentially improved therapeutic index. We anticipate open-label safety/efficacy data to be available in the second quarter of 2026 and expect to complete dose-escalation in the third quarter of 2026.</w:t>
      </w:r>
    </w:p>
    <w:p>
      <w:pPr>
        <w:spacing w:after="0" w:line="20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Our second clinical-stage synthetic lethality product candidate is ATRN-119, an oral small molecule inhibitor of ataxia telangiectasia and Rad3-related, or ATR. The ATR kinase is a master regulator of the DNA damage response, with key roles in cell cycle control and DNA repair following replication stress. On October 15, 2025, we determined the recommended Phase 2 dose (RP2D) of 1,100 mg once daily for ATRN-119 in the monotherapy arm of the ongoing ABOYA-119 Phase 1/2a dose-escalation study, in patients with advanced solid tumors. Building on the completion of dose escalation and supported by new preclinical data suggesting potential synergistic anti-tumor effects, we are considering further ATRN-119 development in combination approaches that could expand its therapeutic potential. We believe ATRN-119's mechanism of action, favorable safety profile, and pharmacologic characteristics make it an ideal candidate for combination with other anti-cancer therapies, including radiation therapy, antibody-drug conjugates and immune checkpoint inhibitors. As part of this strategic focus, we voluntarily paused further enrollment in both once daily and twice daily monotherapy dosing arms of ABOYA-119 and we started an orderly wind-down of certain clinical trial site activities associated with the monotherapy arms as we explore ATTN-119 in potential combination approaches.</w:t>
      </w:r>
    </w:p>
    <w:p>
      <w:pPr>
        <w:spacing w:after="0" w:line="193" w:lineRule="exact"/>
        <w:rPr>
          <w:sz w:val="20"/>
          <w:szCs w:val="20"/>
          <w:color w:val="auto"/>
        </w:rPr>
      </w:pPr>
    </w:p>
    <w:p>
      <w:pPr>
        <w:ind w:right="400"/>
        <w:spacing w:after="0" w:line="305" w:lineRule="auto"/>
        <w:rPr>
          <w:sz w:val="20"/>
          <w:szCs w:val="20"/>
          <w:color w:val="auto"/>
        </w:rPr>
      </w:pPr>
      <w:r>
        <w:rPr>
          <w:rFonts w:ascii="Times New Roman" w:cs="Times New Roman" w:eastAsia="Times New Roman" w:hAnsi="Times New Roman"/>
          <w:sz w:val="19"/>
          <w:szCs w:val="19"/>
          <w:color w:val="auto"/>
        </w:rPr>
        <w:t>We are currently in discussions with leading academic centers to explore combining ATRN-119 with radiation in patients with HPV+ head and neck cancer. Additional investigator-led studies evaluating ATRN-119 in combination</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9720"/>
          </w:cols>
          <w:pgMar w:left="1080" w:top="1063" w:right="1080" w:bottom="542" w:gutter="0" w:footer="0" w:header="0"/>
          <w:type w:val="continuous"/>
        </w:sectPr>
      </w:pPr>
    </w:p>
    <w:bookmarkStart w:id="114" w:name="page115"/>
    <w:bookmarkEnd w:id="114"/>
    <w:p>
      <w:pPr>
        <w:ind w:right="660"/>
        <w:spacing w:after="0" w:line="278" w:lineRule="auto"/>
        <w:rPr>
          <w:sz w:val="20"/>
          <w:szCs w:val="20"/>
          <w:color w:val="auto"/>
        </w:rPr>
      </w:pPr>
      <w:r>
        <w:rPr>
          <w:rFonts w:ascii="Times New Roman" w:cs="Times New Roman" w:eastAsia="Times New Roman" w:hAnsi="Times New Roman"/>
          <w:sz w:val="20"/>
          <w:szCs w:val="20"/>
          <w:color w:val="auto"/>
        </w:rPr>
        <w:t>with an I/O agent and antibody-drug conjugates, are also being explored, based on preclinical evidence that ATR inhibition can enhance anti-tumor immune responses.</w:t>
      </w:r>
    </w:p>
    <w:p>
      <w:pPr>
        <w:spacing w:after="0" w:line="16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In addition, we also have an early -stage program, APR-1602, a macrocyclic DYRK1A/B inhibitor, that will be ready to enter IND-enabling studies in the fourth quarter of 2026. We do not currently have any ongoing preclinical studies or clinical trials involving our reactivators of mutant p53 and our primary focus is on the discovery and development of molecules targeting DDR pathways in oncology through synthetic lethality.</w:t>
      </w:r>
    </w:p>
    <w:p>
      <w:pPr>
        <w:spacing w:after="0" w:line="19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We have assembled a team with extensive experience in the discovery, development and commercialization of oncology drugs to support our mission of developing novel synthetic lethality-based cancer therapeutics.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 Background</w:t>
      </w:r>
    </w:p>
    <w:p>
      <w:pPr>
        <w:spacing w:after="0" w:line="23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Aprea Therapeutics AB, or Aprea AB, was originally incorporated in 2002 and commenced principal operations in 2006. We incorporated Aprea Therapeutics, Inc. (the “Company”) in May 2019. In September 2019 we completed a corporate reorganization and, as a result, all of the issued and outstanding stock of Aprea AB was exchanged for common stock, preferred stock or options, as applicable, of the Company. As a result of such transactions, Aprea AB became a wholly-owned subsidiary of the Company.</w:t>
      </w:r>
    </w:p>
    <w:p>
      <w:pPr>
        <w:spacing w:after="0" w:line="19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We have devoted substantially all of our resources to developing our product candidates, building our intellectual property portfolio, business planning, raising capital and providing general and administrative support for these operations. To date, we have financed our operations primarily through the net proceeds received from the initial public offering of our common stock and sales of common stock through public and private offerings.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Liquidity</w:t>
      </w:r>
    </w:p>
    <w:p>
      <w:pPr>
        <w:spacing w:after="0" w:line="23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Since our inception, we have incurred significant losses on an aggregate basis. We have not yet commercialized any of our product candidates, which are in various phases of preclinical and clinical development, and we do not expect to generate revenue from sales of any products for several years, if at all. Our ability to generate product revenue sufficient to achieve profitability will depend on the successful development and eventual commercialization of one or more of our product candidates. Our net losses were $12.6 million and $13.0 million for the years ended December 31, 2025 and 2024, respectively. As of December 31, 2025, we had an accumulated deficit of $333.6 million. These losses have resulted primarily from costs incurred in connection with research and development activities, patent investment, and general and administrative costs associated with our operations. We expect to continue to incur significant expenses and increasing operating losses for at least the next several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anticipate that our expenses will increase substantially if and as we:</w:t>
      </w:r>
    </w:p>
    <w:p>
      <w:pPr>
        <w:spacing w:after="0" w:line="255" w:lineRule="exact"/>
        <w:rPr>
          <w:sz w:val="20"/>
          <w:szCs w:val="20"/>
          <w:color w:val="auto"/>
        </w:rPr>
      </w:pPr>
    </w:p>
    <w:p>
      <w:pPr>
        <w:ind w:left="360" w:hanging="353"/>
        <w:spacing w:after="0"/>
        <w:tabs>
          <w:tab w:leader="none" w:pos="36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and conduct clinical trials and additional preclinical research for our product candidates;</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seek to identify and develop additional product candidates;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seek marketing approvals for any of our product candidates that successfully complete clinical trials, if any;</w:t>
      </w:r>
    </w:p>
    <w:p>
      <w:pPr>
        <w:spacing w:after="0" w:line="238" w:lineRule="exact"/>
        <w:rPr>
          <w:rFonts w:ascii="Symbol" w:cs="Symbol" w:eastAsia="Symbol" w:hAnsi="Symbol"/>
          <w:sz w:val="20"/>
          <w:szCs w:val="20"/>
          <w:color w:val="auto"/>
        </w:rPr>
      </w:pPr>
    </w:p>
    <w:p>
      <w:pPr>
        <w:ind w:left="360" w:right="100" w:hanging="353"/>
        <w:spacing w:after="0" w:line="262" w:lineRule="auto"/>
        <w:tabs>
          <w:tab w:leader="none" w:pos="36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 sales, marketing, manufacturing and distribution infrastructure to commercialize any products for which we may obtain marketing approval;</w:t>
      </w:r>
    </w:p>
    <w:p>
      <w:pPr>
        <w:spacing w:after="0" w:line="195" w:lineRule="exact"/>
        <w:rPr>
          <w:rFonts w:ascii="Symbol" w:cs="Symbol" w:eastAsia="Symbol" w:hAnsi="Symbol"/>
          <w:sz w:val="20"/>
          <w:szCs w:val="20"/>
          <w:color w:val="auto"/>
        </w:rPr>
      </w:pPr>
    </w:p>
    <w:p>
      <w:pPr>
        <w:ind w:left="360" w:right="680" w:hanging="353"/>
        <w:spacing w:after="0" w:line="262" w:lineRule="auto"/>
        <w:tabs>
          <w:tab w:leader="none" w:pos="36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the manufacture of larger quantities of our product candidates for clinical development and potential commercialization;</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expand, protect and enforce our intellectual property portfolio;</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acquire or in-license other drugs and technologies;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9700"/>
          </w:cols>
          <w:pgMar w:left="1080" w:top="1066" w:right="1100" w:bottom="542" w:gutter="0" w:footer="0" w:header="0"/>
          <w:type w:val="continuous"/>
        </w:sectPr>
      </w:pPr>
    </w:p>
    <w:bookmarkStart w:id="115" w:name="page116"/>
    <w:bookmarkEnd w:id="115"/>
    <w:p>
      <w:pPr>
        <w:ind w:left="360" w:hanging="353"/>
        <w:spacing w:after="0"/>
        <w:tabs>
          <w:tab w:leader="none" w:pos="3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defend against any claims of infringement, misappropriation or other violation of third-party intellectual property;</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hire and retain additional clinical, quality control and scientific personnel;</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build out new facilities or expand existing facilities to support our ongoing development activity;</w:t>
      </w:r>
    </w:p>
    <w:p>
      <w:pPr>
        <w:spacing w:after="0" w:line="238" w:lineRule="exact"/>
        <w:rPr>
          <w:rFonts w:ascii="Symbol" w:cs="Symbol" w:eastAsia="Symbol" w:hAnsi="Symbol"/>
          <w:sz w:val="20"/>
          <w:szCs w:val="20"/>
          <w:color w:val="auto"/>
        </w:rPr>
      </w:pPr>
    </w:p>
    <w:p>
      <w:pPr>
        <w:ind w:left="360" w:right="180" w:hanging="353"/>
        <w:spacing w:after="0" w:line="262" w:lineRule="auto"/>
        <w:tabs>
          <w:tab w:leader="none" w:pos="3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drug development, any future commercialization efforts; and</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 to operate as a public company.</w:t>
      </w:r>
    </w:p>
    <w:p>
      <w:pPr>
        <w:spacing w:after="0" w:line="224" w:lineRule="exact"/>
        <w:rPr>
          <w:sz w:val="20"/>
          <w:szCs w:val="20"/>
          <w:color w:val="auto"/>
        </w:rPr>
      </w:pPr>
    </w:p>
    <w:p>
      <w:pPr>
        <w:ind w:right="860"/>
        <w:spacing w:after="0" w:line="278" w:lineRule="auto"/>
        <w:rPr>
          <w:sz w:val="20"/>
          <w:szCs w:val="20"/>
          <w:color w:val="auto"/>
        </w:rPr>
      </w:pPr>
      <w:r>
        <w:rPr>
          <w:rFonts w:ascii="Times New Roman" w:cs="Times New Roman" w:eastAsia="Times New Roman" w:hAnsi="Times New Roman"/>
          <w:sz w:val="20"/>
          <w:szCs w:val="20"/>
          <w:color w:val="auto"/>
        </w:rPr>
        <w:t>Furthermore, if we obtain marketing approval for any of our product candidates, we expect to incur significant commercialization expenses related to product manufacturing, marketing, sales and distribution.</w:t>
      </w:r>
    </w:p>
    <w:p>
      <w:pPr>
        <w:spacing w:after="0" w:line="16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and grants from government and other (non-government) organizations.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 In addition, our ability to engage in certain types of capital raising transactions may be limited by the Listing Rules of the Nasdaq Stock Market and/or General Instruction I.B.6 of Form S-3 if the market value of our common stock held by non-affiliates is ever below $75 million at a time we seek to utilize our effective registration statement on Form S-3.</w:t>
      </w:r>
    </w:p>
    <w:p>
      <w:pPr>
        <w:spacing w:after="0" w:line="20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As of December 31, 2025, we had cash and cash equivalents of $14.6 million. We believe that our existing cash and cash equivalents as of December 31, 2025 and the gross proceeds of approximately $5.6 million received from our private placement of our common stock and warrants in January 2026, before deducting placement agent fees and offering costs of approximately $0.4 million, will be sufficient to meet our currently projected operating expenses and capital expenditure requirements into the first quarter of 2027. We have based this estimate on assumptions that may prove to be wrong, and we could exhaust our available capital resources sooner than we expect. See “—Liquidity and Capital Resources.” We have concluded that substantial doubt exists about our ability to continue as a going concern for a period of at least 12 months from the date of the issuance of these audited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 revenue</w:t>
      </w:r>
    </w:p>
    <w:p>
      <w:pPr>
        <w:spacing w:after="0" w:line="23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have not generated any revenue from product sales and do not expect to generate any revenue from the sale of products in the near future. If our development efforts for any of our product candidates are successful and result in marketing approval or collaboration or license agreements with third parties, we may generate revenue in the future from a combination of product sales or payments from collaboration or license agreements that we may enter into with third parties.</w:t>
      </w:r>
    </w:p>
    <w:p>
      <w:pPr>
        <w:spacing w:after="0" w:line="19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Our revenue is primarily generated through grants from government and non-government organizations. Grant revenue is recognized during the period that the research and development services occur, as qualifying expenses are incurred or conditions of the grants are met. Associated expenses are recognized when incurred as research and development expense. We concluded that payments received under these grants represent conditional, nonreciprocal contributions, as</w:t>
      </w:r>
    </w:p>
    <w:p>
      <w:pPr>
        <w:sectPr>
          <w:pgSz w:w="11880" w:h="15480" w:orient="portrait"/>
          <w:cols w:equalWidth="0" w:num="1">
            <w:col w:w="9700"/>
          </w:cols>
          <w:pgMar w:left="1080" w:top="1082" w:right="1100" w:bottom="542"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9700"/>
          </w:cols>
          <w:pgMar w:left="1080" w:top="1082" w:right="1100" w:bottom="542" w:gutter="0" w:footer="0" w:header="0"/>
          <w:type w:val="continuous"/>
        </w:sectPr>
      </w:pPr>
    </w:p>
    <w:bookmarkStart w:id="116" w:name="page117"/>
    <w:bookmarkEnd w:id="116"/>
    <w:p>
      <w:pPr>
        <w:ind w:right="280"/>
        <w:spacing w:after="0" w:line="278" w:lineRule="auto"/>
        <w:rPr>
          <w:sz w:val="20"/>
          <w:szCs w:val="20"/>
          <w:color w:val="auto"/>
        </w:rPr>
      </w:pPr>
      <w:r>
        <w:rPr>
          <w:rFonts w:ascii="Times New Roman" w:cs="Times New Roman" w:eastAsia="Times New Roman" w:hAnsi="Times New Roman"/>
          <w:sz w:val="20"/>
          <w:szCs w:val="20"/>
          <w:color w:val="auto"/>
        </w:rPr>
        <w:t xml:space="preserve">described in ASC </w:t>
      </w:r>
      <w:r>
        <w:rPr>
          <w:rFonts w:ascii="Times New Roman" w:cs="Times New Roman" w:eastAsia="Times New Roman" w:hAnsi="Times New Roman"/>
          <w:sz w:val="20"/>
          <w:szCs w:val="20"/>
          <w:i w:val="1"/>
          <w:iCs w:val="1"/>
          <w:color w:val="auto"/>
        </w:rPr>
        <w:t>958, Not-</w:t>
      </w:r>
      <w:r>
        <w:rPr>
          <w:rFonts w:ascii="Times New Roman" w:cs="Times New Roman" w:eastAsia="Times New Roman" w:hAnsi="Times New Roman"/>
          <w:sz w:val="20"/>
          <w:szCs w:val="20"/>
          <w:color w:val="auto"/>
        </w:rPr>
        <w:t xml:space="preserve">for-Profit Entities, and that the grants are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within the scope of ASC </w:t>
      </w:r>
      <w:r>
        <w:rPr>
          <w:rFonts w:ascii="Times New Roman" w:cs="Times New Roman" w:eastAsia="Times New Roman" w:hAnsi="Times New Roman"/>
          <w:sz w:val="20"/>
          <w:szCs w:val="20"/>
          <w:i w:val="1"/>
          <w:iCs w:val="1"/>
          <w:color w:val="auto"/>
        </w:rPr>
        <w:t>606,</w:t>
      </w:r>
      <w:r>
        <w:rPr>
          <w:rFonts w:ascii="Times New Roman" w:cs="Times New Roman" w:eastAsia="Times New Roman" w:hAnsi="Times New Roman"/>
          <w:sz w:val="20"/>
          <w:szCs w:val="20"/>
          <w:color w:val="auto"/>
        </w:rPr>
        <w:t xml:space="preserve"> Revenue from Contracts with Customers, as the organizations providing the grants do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meet the definition of a customer.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43"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color w:val="auto"/>
        </w:rPr>
        <w:t>Our expenses since inception have consisted solely of research and development costs and general and administrative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7"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research activities, including our discovery efforts, and the development of our product candidates, and include:</w:t>
      </w:r>
    </w:p>
    <w:p>
      <w:pPr>
        <w:spacing w:after="0" w:line="182" w:lineRule="exact"/>
        <w:rPr>
          <w:sz w:val="20"/>
          <w:szCs w:val="20"/>
          <w:color w:val="auto"/>
        </w:rPr>
      </w:pPr>
    </w:p>
    <w:p>
      <w:pPr>
        <w:ind w:left="360" w:right="420" w:hanging="353"/>
        <w:spacing w:after="0" w:line="250" w:lineRule="auto"/>
        <w:tabs>
          <w:tab w:leader="none" w:pos="36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expenses incurred under agreements with third parties, including contract research organizations, or CROs, that conduct research, preclinical activities and clinical trials on our behalf as well as contract manufacturing organizations, or CMOs, that manufacture our product candidates for use in our preclinical and clinical trials;</w:t>
      </w:r>
    </w:p>
    <w:p>
      <w:pPr>
        <w:spacing w:after="0" w:line="210" w:lineRule="exact"/>
        <w:rPr>
          <w:rFonts w:ascii="Symbol" w:cs="Symbol" w:eastAsia="Symbol" w:hAnsi="Symbol"/>
          <w:sz w:val="20"/>
          <w:szCs w:val="20"/>
          <w:color w:val="auto"/>
        </w:rPr>
      </w:pPr>
    </w:p>
    <w:p>
      <w:pPr>
        <w:ind w:left="360" w:right="360" w:hanging="353"/>
        <w:spacing w:after="0" w:line="262" w:lineRule="auto"/>
        <w:tabs>
          <w:tab w:leader="none" w:pos="36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salaries, benefits and other related costs, including stock-based compensation expense, for personnel engaged in research and development functions;</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of outside consultants, including their fees, stock-based compensation and related travel expenses;</w:t>
      </w:r>
    </w:p>
    <w:p>
      <w:pPr>
        <w:spacing w:after="0" w:line="238" w:lineRule="exact"/>
        <w:rPr>
          <w:rFonts w:ascii="Symbol" w:cs="Symbol" w:eastAsia="Symbol" w:hAnsi="Symbol"/>
          <w:sz w:val="20"/>
          <w:szCs w:val="20"/>
          <w:color w:val="auto"/>
        </w:rPr>
      </w:pPr>
    </w:p>
    <w:p>
      <w:pPr>
        <w:ind w:left="360" w:right="720" w:hanging="353"/>
        <w:spacing w:after="0" w:line="262" w:lineRule="auto"/>
        <w:tabs>
          <w:tab w:leader="none" w:pos="36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of laboratory supplies and acquiring, developing and manufacturing preclinical study and clinical trial materials;</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expenses related to compliance with regulatory requirements; and</w:t>
      </w:r>
    </w:p>
    <w:p>
      <w:pPr>
        <w:spacing w:after="0" w:line="238" w:lineRule="exact"/>
        <w:rPr>
          <w:rFonts w:ascii="Symbol" w:cs="Symbol" w:eastAsia="Symbol" w:hAnsi="Symbol"/>
          <w:sz w:val="20"/>
          <w:szCs w:val="20"/>
          <w:color w:val="auto"/>
        </w:rPr>
      </w:pPr>
    </w:p>
    <w:p>
      <w:pPr>
        <w:ind w:left="360" w:right="20" w:hanging="353"/>
        <w:spacing w:after="0" w:line="262" w:lineRule="auto"/>
        <w:tabs>
          <w:tab w:leader="none" w:pos="36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facility-related expenses, which include direct depreciation costs and allocated expenses for rent and maintenance of facilities and other operating costs.</w:t>
      </w:r>
    </w:p>
    <w:p>
      <w:pPr>
        <w:spacing w:after="0" w:line="18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We expense research and development costs as incurred. We recognize costs for certain development activities, such as clinical trials, based on an evaluation of the progress to completion of specific tasks using data such as patient enrollment, clinical site activations, or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spacing w:after="0" w:line="1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We typically use our employee and infrastructure resources across our development programs. We track outsourced development costs and payments made to our research partners by product candidate or development program, but we do not allocate personnel costs or other internal costs to specific development programs or product candidates.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progress clinical trials for APR-1051. With the current pause on further patient enrollment in both once daily and twice daily monotherapy dosing arms of ABOYA-119 and the orderly wind-down of certain clinical trial site activities associated with the monotherapy arms as we explore ATTN-119 in potential combination approaches, we may be unable to advance development of ATRN-119 for monotherapy in a timely manner, if at all.</w:t>
      </w: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We cannot determine with certainty the duration and costs of planned clinical trials of our product candidates or if, when, or to what extent we will generate revenue from the commercialization and sale of any our product candidates for which we obtain marketing approval. We may never succeed in obtaining marketing approval for any of our product</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9700"/>
          </w:cols>
          <w:pgMar w:left="1080" w:top="1066" w:right="1100" w:bottom="542" w:gutter="0" w:footer="0" w:header="0"/>
          <w:type w:val="continuous"/>
        </w:sectPr>
      </w:pPr>
    </w:p>
    <w:bookmarkStart w:id="117" w:name="page118"/>
    <w:bookmarkEnd w:id="117"/>
    <w:p>
      <w:pPr>
        <w:ind w:right="120"/>
        <w:spacing w:after="0" w:line="278" w:lineRule="auto"/>
        <w:rPr>
          <w:sz w:val="20"/>
          <w:szCs w:val="20"/>
          <w:color w:val="auto"/>
        </w:rPr>
      </w:pPr>
      <w:r>
        <w:rPr>
          <w:rFonts w:ascii="Times New Roman" w:cs="Times New Roman" w:eastAsia="Times New Roman" w:hAnsi="Times New Roman"/>
          <w:sz w:val="20"/>
          <w:szCs w:val="20"/>
          <w:color w:val="auto"/>
        </w:rPr>
        <w:t>candidates. The duration, costs and timing of clinical trials and development of our product candidates will depend on a variety of factors, including:</w:t>
      </w:r>
    </w:p>
    <w:p>
      <w:pPr>
        <w:spacing w:after="0" w:line="182" w:lineRule="exact"/>
        <w:rPr>
          <w:sz w:val="20"/>
          <w:szCs w:val="20"/>
          <w:color w:val="auto"/>
        </w:rPr>
      </w:pPr>
    </w:p>
    <w:p>
      <w:pPr>
        <w:ind w:left="360" w:right="520" w:hanging="353"/>
        <w:spacing w:after="0" w:line="262" w:lineRule="auto"/>
        <w:tabs>
          <w:tab w:leader="none" w:pos="360" w:val="left"/>
        </w:tabs>
        <w:numPr>
          <w:ilvl w:val="0"/>
          <w:numId w:val="63"/>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rate of progress, expense and results of any future clinical trials of our product candidates and other research and development activities that we may conduct;</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63"/>
        </w:numPr>
        <w:rPr>
          <w:rFonts w:ascii="Symbol" w:cs="Symbol" w:eastAsia="Symbol" w:hAnsi="Symbol"/>
          <w:sz w:val="20"/>
          <w:szCs w:val="20"/>
          <w:color w:val="auto"/>
        </w:rPr>
      </w:pPr>
      <w:r>
        <w:rPr>
          <w:rFonts w:ascii="Times New Roman" w:cs="Times New Roman" w:eastAsia="Times New Roman" w:hAnsi="Times New Roman"/>
          <w:sz w:val="20"/>
          <w:szCs w:val="20"/>
          <w:color w:val="auto"/>
        </w:rPr>
        <w:t>uncertainties in clinical trial design and patient enrollment rates;</w:t>
      </w:r>
    </w:p>
    <w:p>
      <w:pPr>
        <w:spacing w:after="0" w:line="200" w:lineRule="exact"/>
        <w:rPr>
          <w:rFonts w:ascii="Symbol" w:cs="Symbol" w:eastAsia="Symbol" w:hAnsi="Symbol"/>
          <w:sz w:val="20"/>
          <w:szCs w:val="20"/>
          <w:color w:val="auto"/>
        </w:rPr>
      </w:pPr>
    </w:p>
    <w:p>
      <w:pPr>
        <w:ind w:left="360" w:hanging="353"/>
        <w:spacing w:after="0"/>
        <w:tabs>
          <w:tab w:leader="none" w:pos="360" w:val="left"/>
        </w:tabs>
        <w:numPr>
          <w:ilvl w:val="0"/>
          <w:numId w:val="63"/>
        </w:numPr>
        <w:rPr>
          <w:rFonts w:ascii="Symbol" w:cs="Symbol" w:eastAsia="Symbol" w:hAnsi="Symbol"/>
          <w:sz w:val="20"/>
          <w:szCs w:val="20"/>
          <w:color w:val="auto"/>
        </w:rPr>
      </w:pPr>
      <w:r>
        <w:rPr>
          <w:rFonts w:ascii="Times New Roman" w:cs="Times New Roman" w:eastAsia="Times New Roman" w:hAnsi="Times New Roman"/>
          <w:sz w:val="20"/>
          <w:szCs w:val="20"/>
          <w:color w:val="auto"/>
        </w:rPr>
        <w:t>significant and changing government regulation and regulatory guidance;</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63"/>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and receipt of, and any limitations imposed by regulatory bodies on, any marketing approvals; and</w:t>
      </w:r>
    </w:p>
    <w:p>
      <w:pPr>
        <w:spacing w:after="0" w:line="198" w:lineRule="exact"/>
        <w:rPr>
          <w:rFonts w:ascii="Symbol" w:cs="Symbol" w:eastAsia="Symbol" w:hAnsi="Symbol"/>
          <w:sz w:val="20"/>
          <w:szCs w:val="20"/>
          <w:color w:val="auto"/>
        </w:rPr>
      </w:pPr>
    </w:p>
    <w:p>
      <w:pPr>
        <w:ind w:left="360" w:hanging="353"/>
        <w:spacing w:after="0"/>
        <w:tabs>
          <w:tab w:leader="none" w:pos="360" w:val="left"/>
        </w:tabs>
        <w:numPr>
          <w:ilvl w:val="0"/>
          <w:numId w:val="63"/>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expense of filing, prosecuting, defending and enforcing any patent claims and other intellectual property rights.</w:t>
      </w:r>
    </w:p>
    <w:p>
      <w:pPr>
        <w:spacing w:after="0" w:line="18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a product candidate could mean a significant change in the costs and timing associated with the development of that product candidate. For example, if the U.S. Food and Drug Administration, or FDA, or another regulatory authority in a foreign jurisdiction were to require us to conduct clinical trials beyond the scope we currently anticipate, or additional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9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expect that our general and administrative expenses will increase in the future as we increase our headcount to support personnel in research and development and to support our operations generally, and as we increase our activities related to the potential commercialization of our product candidates. We also expect to continue to incur increased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and expense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and expense</w:t>
      </w:r>
    </w:p>
    <w:p>
      <w:pPr>
        <w:spacing w:after="0" w:line="23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Interest income consists of income earned on our cash and cash equivalents. Interest income is decreasing as (i) our cash balance decreases as we continue to fund operations and (ii) a change in interest rates.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gain and loss</w:t>
      </w:r>
    </w:p>
    <w:p>
      <w:pPr>
        <w:spacing w:after="0" w:line="23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consolidated financial statements are presented in U.S. dollars, which is our reporting currency. The financial position and results of operations of our subsidiary Aprea AB is measured using the foreign subsidiary’s local currency as the functional currency. Aprea AB cash accounts holding U.S. dollars are remeasured based upon the exchange rate at the date of remeasurement with the resulting gain or loss included in the consolidated statement of operations and comprehensive loss. Expenses of such subsidiaries have been translated into U.S. dollars at average exchange rates prevailing during the period. Assets and liabilities have been translated at the rates of exchange on the consolidated balance sheet date. The resulting translation gain and loss adjustments are recorded directly as a separate component of</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9700"/>
          </w:cols>
          <w:pgMar w:left="1080" w:top="1066" w:right="1100" w:bottom="542" w:gutter="0" w:footer="0" w:header="0"/>
          <w:type w:val="continuous"/>
        </w:sectPr>
      </w:pPr>
    </w:p>
    <w:bookmarkStart w:id="118" w:name="page119"/>
    <w:bookmarkEnd w:id="118"/>
    <w:p>
      <w:pPr>
        <w:ind w:right="320"/>
        <w:spacing w:after="0" w:line="278" w:lineRule="auto"/>
        <w:rPr>
          <w:sz w:val="20"/>
          <w:szCs w:val="20"/>
          <w:color w:val="auto"/>
        </w:rPr>
      </w:pPr>
      <w:r>
        <w:rPr>
          <w:rFonts w:ascii="Times New Roman" w:cs="Times New Roman" w:eastAsia="Times New Roman" w:hAnsi="Times New Roman"/>
          <w:sz w:val="20"/>
          <w:szCs w:val="20"/>
          <w:color w:val="auto"/>
        </w:rPr>
        <w:t>stockholders’ equity and as other comprehensive loss on the consolidated statement of operations and comprehensive loss.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9"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20"/>
          <w:szCs w:val="20"/>
          <w:color w:val="auto"/>
        </w:rPr>
        <w:t>We have not recorded any U.S. federal, state or foreign income tax expense or benefits for the net losses we have incurred in any year, due to our uncertainty of realizing a benefit from those items. We have provided a valuation allowance for the full amount of the net deferred tax assets as, based on all available evidence, it is considered more likely than not that all the recorded deferred tax assets will not be realized in a future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use of estimates</w:t>
      </w:r>
    </w:p>
    <w:p>
      <w:pPr>
        <w:spacing w:after="0" w:line="2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is based on our financial statements, which have been prepared in accordance with generally accepted accounting principles in the United States. The preparation of our financial statements and related disclosures requires us to make estimates and assumptions that affect the reported amounts of assets and liabilities, costs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the notes to our financial statements, we believe that the following accounting policies are those most critical to the judgments and estimates used in the preparation of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23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As part of the process of preparing our financial statements, we are required to accrue for research and development expenses at each balance sheet. This process involves reviewing open contract and purchase orders, communicating with our personnel and service providers to identify services that have been performed on our behalf and the level of service performed and the associated costs incurred for the services when we have not yet been invoiced. The majority of our service providers invoice us in arrears for services performed, on a pre-determined schedule or when contractual milestones are met; however, some require advanced payments. We accrue research and development expenses as of each balance sheet date in our financial statements based on facts and circumstances known to us at that time. Examples of accrued research and development expenses include fees paid to:</w:t>
      </w:r>
    </w:p>
    <w:p>
      <w:pPr>
        <w:spacing w:after="0" w:line="217" w:lineRule="exact"/>
        <w:rPr>
          <w:sz w:val="20"/>
          <w:szCs w:val="20"/>
          <w:color w:val="auto"/>
        </w:rPr>
      </w:pPr>
    </w:p>
    <w:p>
      <w:pPr>
        <w:ind w:left="360" w:right="20" w:hanging="353"/>
        <w:spacing w:after="0" w:line="262" w:lineRule="auto"/>
        <w:tabs>
          <w:tab w:leader="none" w:pos="360" w:val="left"/>
        </w:tabs>
        <w:numPr>
          <w:ilvl w:val="0"/>
          <w:numId w:val="64"/>
        </w:numPr>
        <w:rPr>
          <w:rFonts w:ascii="Symbol" w:cs="Symbol" w:eastAsia="Symbol" w:hAnsi="Symbol"/>
          <w:sz w:val="20"/>
          <w:szCs w:val="20"/>
          <w:color w:val="auto"/>
        </w:rPr>
      </w:pPr>
      <w:r>
        <w:rPr>
          <w:rFonts w:ascii="Times New Roman" w:cs="Times New Roman" w:eastAsia="Times New Roman" w:hAnsi="Times New Roman"/>
          <w:sz w:val="20"/>
          <w:szCs w:val="20"/>
          <w:color w:val="auto"/>
        </w:rPr>
        <w:t>CROs in connection with performing research activities on our behalf and conducting preclinical studies and clinical trials on our behalf;</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64"/>
        </w:numPr>
        <w:rPr>
          <w:rFonts w:ascii="Symbol" w:cs="Symbol" w:eastAsia="Symbol" w:hAnsi="Symbol"/>
          <w:sz w:val="20"/>
          <w:szCs w:val="20"/>
          <w:color w:val="auto"/>
        </w:rPr>
      </w:pPr>
      <w:r>
        <w:rPr>
          <w:rFonts w:ascii="Times New Roman" w:cs="Times New Roman" w:eastAsia="Times New Roman" w:hAnsi="Times New Roman"/>
          <w:sz w:val="20"/>
          <w:szCs w:val="20"/>
          <w:color w:val="auto"/>
        </w:rPr>
        <w:t>investigative sites or other service providers in connection with clinical trials;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4"/>
        </w:numPr>
        <w:rPr>
          <w:rFonts w:ascii="Symbol" w:cs="Symbol" w:eastAsia="Symbol" w:hAnsi="Symbol"/>
          <w:sz w:val="20"/>
          <w:szCs w:val="20"/>
          <w:color w:val="auto"/>
        </w:rPr>
      </w:pPr>
      <w:r>
        <w:rPr>
          <w:rFonts w:ascii="Times New Roman" w:cs="Times New Roman" w:eastAsia="Times New Roman" w:hAnsi="Times New Roman"/>
          <w:sz w:val="20"/>
          <w:szCs w:val="20"/>
          <w:color w:val="auto"/>
        </w:rPr>
        <w:t>vendors in connection with preclinical and clinical development activities; and</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4"/>
        </w:numPr>
        <w:rPr>
          <w:rFonts w:ascii="Symbol" w:cs="Symbol" w:eastAsia="Symbol" w:hAnsi="Symbol"/>
          <w:sz w:val="20"/>
          <w:szCs w:val="20"/>
          <w:color w:val="auto"/>
        </w:rPr>
      </w:pPr>
      <w:r>
        <w:rPr>
          <w:rFonts w:ascii="Times New Roman" w:cs="Times New Roman" w:eastAsia="Times New Roman" w:hAnsi="Times New Roman"/>
          <w:sz w:val="20"/>
          <w:szCs w:val="20"/>
          <w:color w:val="auto"/>
        </w:rPr>
        <w:t>vendors related to product manufacturing and development and distribution of preclinical and clinical supplies.</w:t>
      </w:r>
    </w:p>
    <w:p>
      <w:pPr>
        <w:spacing w:after="0" w:line="22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We base our expenses related to preclinical studies and clinical trials on the services received and efforts expended pursuant to quotes and contracts with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are fee for service or depend on factors such as the successful enrollment of patients and the completion of clinical trial milestones. If the actual timing of the performance of services or the level of effort varies from the amount accrued, we adjust the accrual or amount of prepaid expense accordingly. Although we do not expect our accrued research and development expenses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9720"/>
          </w:cols>
          <w:pgMar w:left="1080" w:top="1066" w:right="1080" w:bottom="542" w:gutter="0" w:footer="0" w:header="0"/>
          <w:type w:val="continuous"/>
        </w:sectPr>
      </w:pPr>
    </w:p>
    <w:bookmarkStart w:id="119" w:name="page120"/>
    <w:bookmarkEnd w:id="119"/>
    <w:p>
      <w:pPr>
        <w:ind w:right="20"/>
        <w:spacing w:after="0" w:line="253" w:lineRule="auto"/>
        <w:rPr>
          <w:sz w:val="20"/>
          <w:szCs w:val="20"/>
          <w:color w:val="auto"/>
        </w:rPr>
      </w:pPr>
      <w:r>
        <w:rPr>
          <w:rFonts w:ascii="Times New Roman" w:cs="Times New Roman" w:eastAsia="Times New Roman" w:hAnsi="Times New Roman"/>
          <w:sz w:val="20"/>
          <w:szCs w:val="20"/>
          <w:color w:val="auto"/>
        </w:rPr>
        <w:t>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accruals of research and development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Smaller reporting company status</w:t>
      </w:r>
    </w:p>
    <w:p>
      <w:pPr>
        <w:spacing w:after="0" w:line="24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are a “smaller reporting company,” as such term is defined in Rule 12b-2 of the Exchange Act, meaning that the market value of our common stock held by non-affiliates is less than $700 million and our annual revenue is less than $100 million during the most recently completed fiscal year. We may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 -affiliates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6"/>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Grant revenue</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23"/>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42"/>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20" w:type="dxa"/>
            <w:vAlign w:val="bottom"/>
            <w:vMerge w:val="continue"/>
          </w:tcPr>
          <w:p>
            <w:pPr>
              <w:jc w:val="right"/>
              <w:ind w:right="1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285,759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1,502,581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(1,216,822)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9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Research and development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7,043,035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9,363,537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(2,320,502)</w:t>
            </w:r>
          </w:p>
        </w:tc>
        <w:tc>
          <w:tcPr>
            <w:tcW w:w="0" w:type="dxa"/>
            <w:vAlign w:val="bottom"/>
          </w:tcPr>
          <w:p>
            <w:pPr>
              <w:spacing w:after="0"/>
              <w:rPr>
                <w:sz w:val="1"/>
                <w:szCs w:val="1"/>
                <w:color w:val="auto"/>
              </w:rPr>
            </w:pPr>
          </w:p>
        </w:tc>
      </w:tr>
      <w:tr>
        <w:trPr>
          <w:trHeight w:val="270"/>
        </w:trPr>
        <w:tc>
          <w:tcPr>
            <w:tcW w:w="5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 . . . .</w:t>
            </w: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6,476,560</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6,458,699</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920" w:type="dxa"/>
            <w:vAlign w:val="bottom"/>
          </w:tcPr>
          <w:p>
            <w:pPr>
              <w:jc w:val="right"/>
              <w:ind w:right="12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.Totaloperatingexpenses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13,519,595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15,822,236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(2,302,641)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920" w:type="dxa"/>
            <w:vAlign w:val="bottom"/>
          </w:tcPr>
          <w:p>
            <w:pPr>
              <w:jc w:val="right"/>
              <w:ind w:right="120"/>
              <w:spacing w:after="0" w:line="201" w:lineRule="exact"/>
              <w:rPr>
                <w:sz w:val="20"/>
                <w:szCs w:val="20"/>
                <w:color w:val="auto"/>
              </w:rPr>
            </w:pPr>
            <w:r>
              <w:rPr>
                <w:rFonts w:ascii="Times New Roman" w:cs="Times New Roman" w:eastAsia="Times New Roman" w:hAnsi="Times New Roman"/>
                <w:sz w:val="20"/>
                <w:szCs w:val="20"/>
                <w:color w:val="auto"/>
                <w:w w:val="98"/>
              </w:rPr>
              <w:t>. . . . . . . . . . . . . . . . . . . . . . . . . . . . . . . . . . . . . . . . . .Lossfromoperations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(13,233,836)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(14,319,655)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1,085,819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spacing w:after="0" w:line="202" w:lineRule="exact"/>
              <w:rPr>
                <w:sz w:val="20"/>
                <w:szCs w:val="20"/>
                <w:color w:val="auto"/>
              </w:rPr>
            </w:pPr>
            <w:r>
              <w:rPr>
                <w:rFonts w:ascii="Times New Roman" w:cs="Times New Roman" w:eastAsia="Times New Roman" w:hAnsi="Times New Roman"/>
                <w:sz w:val="20"/>
                <w:szCs w:val="20"/>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Interest income, net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652,086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1,289,144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(637,058)</w:t>
            </w:r>
          </w:p>
        </w:tc>
        <w:tc>
          <w:tcPr>
            <w:tcW w:w="0" w:type="dxa"/>
            <w:vAlign w:val="bottom"/>
          </w:tcPr>
          <w:p>
            <w:pPr>
              <w:spacing w:after="0"/>
              <w:rPr>
                <w:sz w:val="1"/>
                <w:szCs w:val="1"/>
                <w:color w:val="auto"/>
              </w:rPr>
            </w:pPr>
          </w:p>
        </w:tc>
      </w:tr>
      <w:tr>
        <w:trPr>
          <w:trHeight w:val="232"/>
        </w:trPr>
        <w:tc>
          <w:tcPr>
            <w:tcW w:w="5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Other income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Foreign currency (loss) gain. . . . . . . . . . . . . . . . . . . . . . . . . . . . . . . . . . .</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(95,319)</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71,800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(167,119)</w:t>
            </w:r>
          </w:p>
        </w:tc>
        <w:tc>
          <w:tcPr>
            <w:tcW w:w="0" w:type="dxa"/>
            <w:vAlign w:val="bottom"/>
          </w:tcPr>
          <w:p>
            <w:pPr>
              <w:spacing w:after="0"/>
              <w:rPr>
                <w:sz w:val="1"/>
                <w:szCs w:val="1"/>
                <w:color w:val="auto"/>
              </w:rPr>
            </w:pPr>
          </w:p>
        </w:tc>
      </w:tr>
      <w:tr>
        <w:trPr>
          <w:trHeight w:val="221"/>
        </w:trPr>
        <w:tc>
          <w:tcPr>
            <w:tcW w:w="5920" w:type="dxa"/>
            <w:vAlign w:val="bottom"/>
          </w:tcPr>
          <w:p>
            <w:pPr>
              <w:jc w:val="right"/>
              <w:ind w:right="12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.Totalotherincome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634,267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1,360,944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(726,677)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20" w:type="dxa"/>
            <w:vAlign w:val="bottom"/>
          </w:tcPr>
          <w:p>
            <w:pPr>
              <w:jc w:val="right"/>
              <w:ind w:right="120"/>
              <w:spacing w:after="0" w:line="203"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.Netloss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(12,599,569)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(12,958,711)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359,142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 revenue</w:t>
      </w:r>
    </w:p>
    <w:p>
      <w:pPr>
        <w:spacing w:after="0" w:line="239"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20"/>
          <w:szCs w:val="20"/>
          <w:color w:val="auto"/>
        </w:rPr>
        <w:t>Grant revenue from the National Cancer Institute of the National Institutes of Health (“NIH”) for the years ended December 31, 2025 and 2024 was approximately $0.3 million and $1.5 million, respectively. The decrease in grant revenue of $1.2 million is due to recognizing less grant revenue from the NIH.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4"/>
        </w:trPr>
        <w:tc>
          <w:tcPr>
            <w:tcW w:w="5920" w:type="dxa"/>
            <w:vAlign w:val="bottom"/>
            <w:vMerge w:val="restart"/>
          </w:tcPr>
          <w:p>
            <w:pPr>
              <w:jc w:val="right"/>
              <w:ind w:right="4960"/>
              <w:spacing w:after="0"/>
              <w:rPr>
                <w:sz w:val="20"/>
                <w:szCs w:val="20"/>
                <w:color w:val="auto"/>
              </w:rPr>
            </w:pPr>
            <w:r>
              <w:rPr>
                <w:rFonts w:ascii="Times New Roman" w:cs="Times New Roman" w:eastAsia="Times New Roman" w:hAnsi="Times New Roman"/>
                <w:sz w:val="20"/>
                <w:szCs w:val="20"/>
                <w:color w:val="auto"/>
                <w:w w:val="98"/>
              </w:rPr>
              <w:t>APR-1051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2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20" w:type="dxa"/>
            <w:vAlign w:val="bottom"/>
            <w:vMerge w:val="continue"/>
          </w:tcPr>
          <w:p>
            <w:pPr>
              <w:jc w:val="right"/>
              <w:ind w:right="12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2,582,989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3,348,050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(765,061)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ATRN-119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3,170,099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3,649,965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(479,866)</w:t>
            </w:r>
          </w:p>
        </w:tc>
        <w:tc>
          <w:tcPr>
            <w:tcW w:w="0" w:type="dxa"/>
            <w:vAlign w:val="bottom"/>
          </w:tcPr>
          <w:p>
            <w:pPr>
              <w:spacing w:after="0"/>
              <w:rPr>
                <w:sz w:val="1"/>
                <w:szCs w:val="1"/>
                <w:color w:val="auto"/>
              </w:rPr>
            </w:pPr>
          </w:p>
        </w:tc>
      </w:tr>
      <w:tr>
        <w:trPr>
          <w:trHeight w:val="230"/>
        </w:trPr>
        <w:tc>
          <w:tcPr>
            <w:tcW w:w="5920" w:type="dxa"/>
            <w:vAlign w:val="bottom"/>
          </w:tcPr>
          <w:p>
            <w:pPr>
              <w:jc w:val="right"/>
              <w:ind w:right="120"/>
              <w:spacing w:after="0" w:line="230" w:lineRule="exact"/>
              <w:rPr>
                <w:sz w:val="20"/>
                <w:szCs w:val="20"/>
                <w:color w:val="auto"/>
              </w:rPr>
            </w:pPr>
            <w:r>
              <w:rPr>
                <w:rFonts w:ascii="Times New Roman" w:cs="Times New Roman" w:eastAsia="Times New Roman" w:hAnsi="Times New Roman"/>
                <w:sz w:val="20"/>
                <w:szCs w:val="20"/>
                <w:color w:val="auto"/>
                <w:w w:val="97"/>
              </w:rPr>
              <w:t>APR</w:t>
            </w:r>
            <w:r>
              <w:rPr>
                <w:rFonts w:ascii="MS PMincho" w:cs="MS PMincho" w:eastAsia="MS PMincho" w:hAnsi="MS PMincho"/>
                <w:sz w:val="20"/>
                <w:szCs w:val="20"/>
                <w:color w:val="auto"/>
                <w:w w:val="97"/>
              </w:rPr>
              <w:t>‑</w:t>
            </w:r>
            <w:r>
              <w:rPr>
                <w:rFonts w:ascii="Times New Roman" w:cs="Times New Roman" w:eastAsia="Times New Roman" w:hAnsi="Times New Roman"/>
                <w:sz w:val="20"/>
                <w:szCs w:val="20"/>
                <w:color w:val="auto"/>
                <w:w w:val="97"/>
              </w:rPr>
              <w:t>246 . . . . . . . . . . . . . . . . . . . . . . . . . . . . . . . . . . . . . . . . . . . . . . . . . . .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Pr>
          <w:p>
            <w:pPr>
              <w:jc w:val="right"/>
              <w:ind w:right="120"/>
              <w:spacing w:after="0" w:line="230" w:lineRule="exact"/>
              <w:rPr>
                <w:sz w:val="20"/>
                <w:szCs w:val="20"/>
                <w:color w:val="auto"/>
              </w:rPr>
            </w:pPr>
            <w:r>
              <w:rPr>
                <w:rFonts w:ascii="Times New Roman" w:cs="Times New Roman" w:eastAsia="Times New Roman" w:hAnsi="Times New Roman"/>
                <w:sz w:val="20"/>
                <w:szCs w:val="20"/>
                <w:color w:val="auto"/>
                <w:w w:val="98"/>
              </w:rPr>
              <w:t>Other early</w:t>
            </w:r>
            <w:r>
              <w:rPr>
                <w:rFonts w:ascii="MS PMincho" w:cs="MS PMincho" w:eastAsia="MS PMincho" w:hAnsi="MS PMincho"/>
                <w:sz w:val="20"/>
                <w:szCs w:val="20"/>
                <w:color w:val="auto"/>
                <w:w w:val="98"/>
              </w:rPr>
              <w:t>‑</w:t>
            </w:r>
            <w:r>
              <w:rPr>
                <w:rFonts w:ascii="Times New Roman" w:cs="Times New Roman" w:eastAsia="Times New Roman" w:hAnsi="Times New Roman"/>
                <w:sz w:val="20"/>
                <w:szCs w:val="20"/>
                <w:color w:val="auto"/>
                <w:w w:val="98"/>
              </w:rPr>
              <w:t>stage development programs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(143,335)</w:t>
            </w:r>
          </w:p>
        </w:tc>
        <w:tc>
          <w:tcPr>
            <w:tcW w:w="0" w:type="dxa"/>
            <w:vAlign w:val="bottom"/>
          </w:tcPr>
          <w:p>
            <w:pPr>
              <w:spacing w:after="0"/>
              <w:rPr>
                <w:sz w:val="1"/>
                <w:szCs w:val="1"/>
                <w:color w:val="auto"/>
              </w:rPr>
            </w:pPr>
          </w:p>
        </w:tc>
      </w:tr>
      <w:tr>
        <w:trPr>
          <w:trHeight w:val="251"/>
        </w:trPr>
        <w:tc>
          <w:tcPr>
            <w:tcW w:w="5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Unallocated research and development expenses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1,149,723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2,079,917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(930,194)</w:t>
            </w:r>
          </w:p>
        </w:tc>
        <w:tc>
          <w:tcPr>
            <w:tcW w:w="0" w:type="dxa"/>
            <w:vAlign w:val="bottom"/>
          </w:tcPr>
          <w:p>
            <w:pPr>
              <w:spacing w:after="0"/>
              <w:rPr>
                <w:sz w:val="1"/>
                <w:szCs w:val="1"/>
                <w:color w:val="auto"/>
              </w:rPr>
            </w:pPr>
          </w:p>
        </w:tc>
      </w:tr>
      <w:tr>
        <w:trPr>
          <w:trHeight w:val="231"/>
        </w:trPr>
        <w:tc>
          <w:tcPr>
            <w:tcW w:w="5920" w:type="dxa"/>
            <w:vAlign w:val="bottom"/>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 . . . . . . . . . . . . . . . . . . . . . . . .Totalresearchanddevelopmentexpenses</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7,043,035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9,363,537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(2,320,502)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9720"/>
          </w:cols>
          <w:pgMar w:left="1080" w:top="1066" w:right="1080" w:bottom="542" w:gutter="0" w:footer="0" w:header="0"/>
          <w:type w:val="continuous"/>
        </w:sectPr>
      </w:pPr>
    </w:p>
    <w:bookmarkStart w:id="120" w:name="page121"/>
    <w:bookmarkEnd w:id="120"/>
    <w:p>
      <w:pPr>
        <w:ind w:right="80"/>
        <w:spacing w:after="0" w:line="278" w:lineRule="auto"/>
        <w:rPr>
          <w:sz w:val="20"/>
          <w:szCs w:val="20"/>
          <w:color w:val="auto"/>
        </w:rPr>
      </w:pPr>
      <w:r>
        <w:rPr>
          <w:rFonts w:ascii="Times New Roman" w:cs="Times New Roman" w:eastAsia="Times New Roman" w:hAnsi="Times New Roman"/>
          <w:sz w:val="20"/>
          <w:szCs w:val="20"/>
          <w:color w:val="auto"/>
        </w:rPr>
        <w:t>Research and development expenses for the year ended December 31, 2025 were $7.0 million, compared to $9.4 million for the year ended December 31, 2024. The overall decrease of $2.3 million was primarily due to the following:</w:t>
      </w:r>
    </w:p>
    <w:p>
      <w:pPr>
        <w:spacing w:after="0" w:line="182" w:lineRule="exact"/>
        <w:rPr>
          <w:sz w:val="20"/>
          <w:szCs w:val="20"/>
          <w:color w:val="auto"/>
        </w:rPr>
      </w:pPr>
    </w:p>
    <w:p>
      <w:pPr>
        <w:ind w:left="720" w:right="480" w:hanging="353"/>
        <w:spacing w:after="0" w:line="262" w:lineRule="auto"/>
        <w:tabs>
          <w:tab w:leader="none" w:pos="720" w:val="left"/>
        </w:tabs>
        <w:numPr>
          <w:ilvl w:val="0"/>
          <w:numId w:val="65"/>
        </w:numPr>
        <w:rPr>
          <w:rFonts w:ascii="Symbol" w:cs="Symbol" w:eastAsia="Symbol" w:hAnsi="Symbol"/>
          <w:sz w:val="20"/>
          <w:szCs w:val="20"/>
          <w:color w:val="auto"/>
        </w:rPr>
      </w:pPr>
      <w:r>
        <w:rPr>
          <w:rFonts w:ascii="Times New Roman" w:cs="Times New Roman" w:eastAsia="Times New Roman" w:hAnsi="Times New Roman"/>
          <w:sz w:val="20"/>
          <w:szCs w:val="20"/>
          <w:color w:val="auto"/>
        </w:rPr>
        <w:t>a decrease of $0.8 million related to ACESOT-1051, our Phase 1 dose-escalation study for APR-1051, our small molecule WEE1 inhibitor;</w:t>
      </w:r>
    </w:p>
    <w:p>
      <w:pPr>
        <w:spacing w:after="0" w:line="195" w:lineRule="exact"/>
        <w:rPr>
          <w:rFonts w:ascii="Symbol" w:cs="Symbol" w:eastAsia="Symbol" w:hAnsi="Symbol"/>
          <w:sz w:val="20"/>
          <w:szCs w:val="20"/>
          <w:color w:val="auto"/>
        </w:rPr>
      </w:pPr>
    </w:p>
    <w:p>
      <w:pPr>
        <w:ind w:left="720" w:right="220" w:hanging="353"/>
        <w:spacing w:after="0" w:line="247" w:lineRule="auto"/>
        <w:tabs>
          <w:tab w:leader="none" w:pos="720" w:val="left"/>
        </w:tabs>
        <w:numPr>
          <w:ilvl w:val="0"/>
          <w:numId w:val="65"/>
        </w:numPr>
        <w:rPr>
          <w:rFonts w:ascii="Symbol" w:cs="Symbol" w:eastAsia="Symbol" w:hAnsi="Symbol"/>
          <w:sz w:val="20"/>
          <w:szCs w:val="20"/>
          <w:color w:val="auto"/>
        </w:rPr>
      </w:pPr>
      <w:r>
        <w:rPr>
          <w:rFonts w:ascii="Times New Roman" w:cs="Times New Roman" w:eastAsia="Times New Roman" w:hAnsi="Times New Roman"/>
          <w:sz w:val="20"/>
          <w:szCs w:val="20"/>
          <w:color w:val="auto"/>
        </w:rPr>
        <w:t>a decrease of $0.5 million related to the ABOYA-119 clinical trial to evaluate ATRN-119, our clinical-stage oral small molecule inhibitor of ATR. The ABOYA-119 clinical trial was voluntarily paused in October 2025 and we started an orderly wind-down of certain clinical trial site activities associated with the monotherapy arms as we explore ATTN-119 in potential combination approaches; and</w:t>
      </w:r>
    </w:p>
    <w:p>
      <w:pPr>
        <w:spacing w:after="0" w:line="212" w:lineRule="exact"/>
        <w:rPr>
          <w:rFonts w:ascii="Symbol" w:cs="Symbol" w:eastAsia="Symbol" w:hAnsi="Symbol"/>
          <w:sz w:val="20"/>
          <w:szCs w:val="20"/>
          <w:color w:val="auto"/>
        </w:rPr>
      </w:pPr>
    </w:p>
    <w:p>
      <w:pPr>
        <w:ind w:left="720" w:hanging="353"/>
        <w:spacing w:after="0"/>
        <w:tabs>
          <w:tab w:leader="none" w:pos="720" w:val="left"/>
        </w:tabs>
        <w:numPr>
          <w:ilvl w:val="0"/>
          <w:numId w:val="65"/>
        </w:numPr>
        <w:rPr>
          <w:rFonts w:ascii="Symbol" w:cs="Symbol" w:eastAsia="Symbol" w:hAnsi="Symbol"/>
          <w:sz w:val="20"/>
          <w:szCs w:val="20"/>
          <w:color w:val="auto"/>
        </w:rPr>
      </w:pPr>
      <w:r>
        <w:rPr>
          <w:rFonts w:ascii="Times New Roman" w:cs="Times New Roman" w:eastAsia="Times New Roman" w:hAnsi="Times New Roman"/>
          <w:sz w:val="20"/>
          <w:szCs w:val="20"/>
          <w:color w:val="auto"/>
        </w:rPr>
        <w:t>a decrease of $0.9 million in non-program consulting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General and administrative expenses for the year ended December 31, 2025 were $6.5 million, compared to $6.5 million for the year ended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and expense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currency loss was $95,319 for the year ended December 31, 2025 compared to a foreign currency gain of</w:t>
      </w:r>
    </w:p>
    <w:p>
      <w:pPr>
        <w:spacing w:after="0" w:line="2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$71,800 for the year ended December 31, 2024. The change in the foreign currency of $167,119 was primarily due to a weakening of the U.S. dollar against the Swedish Krona during the year ended December 31, 2025 as compared to the year ended December 31, 2024. Other income was $77,500 for the year ended December 31, 2025 and was related to the monetization of a portion of the Company’s state net operating loss carryforwards. Interest income for the years ended December 31, 2025 and 2024 primarily consisted of interest earned on our cash and cash equivalents.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Since our inception, we have incurred significant losses on an aggregate basis. We have not yet commercialized any of our product candidates, which are in various phases of preclinical and clinical development, and we do not expect to generate revenue from sales of any products for several years, if at all. Our ability to generate product revenue sufficient to achieve profitability will depend on the successful development and eventual commercialization of one or more of our product candidates. Since 2019, our primary source of funds has been from the public and private sales of our common stock. As of December 31, 2025, we had cash and cash equivalents of $14.6 million. We believe that our existing cash and cash equivalents as of December 31, 2025, together with the capital raised in our January 2026 private placement financing, will be sufficient to meet our currently projected operating expenses and capital expenditure requirements into the first quarter of 2027. We have concluded that substantial doubt exists about our ability to continue as a going concern for a period of at least 12 months from the date of the issuance of these audited consolidated financial statements.</w:t>
      </w:r>
    </w:p>
    <w:p>
      <w:pPr>
        <w:spacing w:after="0" w:line="20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On January 26, 2024, we filed a shelf registration statement, or the 2024 Shelf Registration Statement, with the SEC for issuance of up to $150 million, including a prospectus for the sale of $1.0 million under the ATM Agreement, as discussed below, which was declared effective on February 2, 2024. We subsequently filed a prospectus supplement to the 2024 Shelf Registration Statement for the sale of up to $2.0 million of shares of our common stock pursuant to the ATM Agreement.</w:t>
      </w:r>
    </w:p>
    <w:p>
      <w:pPr>
        <w:spacing w:after="0" w:line="19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On January 26, 2024, we entered into an At the Market Offering Agreement, or the ATM Agreement, with H.C. Wainright &amp; Co., LLC, or HCW. Pursuant to the ATM Agreement and the prospectus supplement filed in connection therewith, we may, from time to time, in our sole discretion, issue and sell through HCW, acting as sales agent and/or principal, up to $2.0 million of shares of our common stock. We have not made any sales under the ATM Agreement to date. In March 2024, we terminated the ATM agreement with HCW.</w:t>
      </w:r>
    </w:p>
    <w:p>
      <w:pPr>
        <w:spacing w:after="0" w:line="19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On March 11, 2024, we entered into a securities purchase agreement with certain purchasers, or the Purchasers, pursuant to which we agreed to issue and sell to the Purchasers, and the Purchasers agreed to purchase from us (i) 1,687,712</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9720"/>
          </w:cols>
          <w:pgMar w:left="1080" w:top="1066" w:right="1080" w:bottom="542" w:gutter="0" w:footer="0" w:header="0"/>
          <w:type w:val="continuous"/>
        </w:sectPr>
      </w:pPr>
    </w:p>
    <w:bookmarkStart w:id="121" w:name="page122"/>
    <w:bookmarkEnd w:id="121"/>
    <w:p>
      <w:pPr>
        <w:ind w:right="20"/>
        <w:spacing w:after="0" w:line="242" w:lineRule="auto"/>
        <w:rPr>
          <w:sz w:val="20"/>
          <w:szCs w:val="20"/>
          <w:color w:val="auto"/>
        </w:rPr>
      </w:pPr>
      <w:r>
        <w:rPr>
          <w:rFonts w:ascii="Times New Roman" w:cs="Times New Roman" w:eastAsia="Times New Roman" w:hAnsi="Times New Roman"/>
          <w:sz w:val="20"/>
          <w:szCs w:val="20"/>
          <w:color w:val="auto"/>
        </w:rPr>
        <w:t>shares of our common stock at a purchase price of $7.29 per share, (ii) pre-funded common stock purchase warrants to purchase an aggregate of up to 507,076 shares of our common stock at an exercise price of $0.001 per share, (iii) tranche A common stock purchase warrants to purchase up to 1,097,394 shares of our common stock at an exercise price of $7.29 per share, or the Tranche A Warrants, and (iv) tranche B common stock purchase warrants to purchase up to 1,097,394 shares of our common stock at an exercise price of $9.1125 per share, or the Tranche B Warrants. The Tranche A Warrants will be exercisable until the earlier of (i) the three-year anniversary of issuance and (ii) 30 days after we announce the recommended Phase 2 dose for ATRN-119, and, following such announcement, the daily volume weighted average price of our common stock equals or exceeds $14.58 for 30 consecutive trading days. The Tranche B Warrants will be exercisable until the earlier of (i) the five-year anniversary of issuance and (ii) 30 days after we announce the recommended Phase 2 dose for APR-1051 and, following such announcement, the daily volume weighted average price of our common stock equals or exceeds $18.225 for 30 consecutive trading days. To the extent that the exercise of a Tranche A Warrant or Tranche B Warrant would result in the holder beneficially owning greater than</w:t>
      </w:r>
    </w:p>
    <w:p>
      <w:pPr>
        <w:spacing w:after="0" w:line="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9"/>
          <w:szCs w:val="19"/>
          <w:color w:val="auto"/>
        </w:rPr>
        <w:t>4.99% (or, at the election of the holder, greater than 9.99%) of our outstanding common stock immediately following such exercise, the holder will instead receive pre-funded warrants in substantially the same form as the pre-funded warrants issued at closing. The aggregate gross proceeds from the issuance of common stock and warrants totaled approximately $16.0 million, before deducting placement agent fees and offering costs of approximately $1.3 million, and the gross proceeds from potential future warrant cash exercises is expected to be approximately $18.0 million.</w:t>
      </w:r>
    </w:p>
    <w:p>
      <w:pPr>
        <w:spacing w:after="0" w:line="18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On November 8, 2024, we entered into an At the Market Offering Agreement, or the 2024 ATM Agreement, with H.C. Wainright &amp; Co., LLC, or HCW. Pursuant to the 2024 ATM Agreement and the prospectus supplement filed in connection therewith, we may, from time to time, in our sole discretion, issue and sell through HCW, acting as sales agent and/or principal, up to $3.0 million of shares of our common stock. During the year ended year ended December 31, 2025, we issued and sold 1,337,948 shares of common stock under the Sales Agreement resulting in net proceeds of approximately $1.9 million. During the year ended December 31, 2024, we issued and sold 41,152 shares of common stock under the Sales Agreement resulting in net proceeds of approximately $0.1 million.</w:t>
      </w:r>
    </w:p>
    <w:p>
      <w:pPr>
        <w:spacing w:after="0" w:line="19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On December 8, 2025, we entered into a securities purchase agreement with certain purchasers (the “December Purchasers”) pursuant to which we agreed to issue and sell to the December Purchasers in a private placement offering exempt from registration under the Securities Act of 1933, as amended, or the Securities Act, and the December Purchasers agreed to purchase from us (i) 26,459 shares of our common stock at a purchase price of $1.165 per share (the “December 2025 Shares”), (ii) pre-funded common stock purchase warrants at a purchase price of $ 1.164 to purchase an aggregate of up to 2,596,564 shares of our common stock at an exercise price of $0.001 per share (the “December 2025 Pre-Funded Shares”), (iii) common stock purchase warrants to purchase up to 2,880,533 shares of our common stock at an exercise price of $1.04 per share, including this issuance of a warrant to purchase up to 257,510 shares of our common stock to the placement agent (the “December 2025 Warrants”). The December 2025 Warrants will be exercisable until the five-year anniversary of issuance. To the extent that the exercise of a December 2025 Warrant would result in the holder beneficially owning greater than 4.99% (or, at the election of the holder, greater than 9.99%) of our outstanding common stock immediately following such exercise, the holder will instead receive pre-funded warrants in substantially the same form as the pre-funded warrants issued at closing. The aggregate upfront gross proceeds from the issuance of common stock and pre-funded common stock purchase warrants totaled approximately $3.1 million, before deducting placement agent fees and offering costs of approximately $0.4 million. In</w:t>
      </w:r>
    </w:p>
    <w:p>
      <w:pPr>
        <w:spacing w:after="0" w:line="14"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December 2025, we registered on Form S-3 the resale of the December 2025 Shares, the December 2025 Pre-Funded Shares and the shares underlying the December 2025 Warrants.</w:t>
      </w:r>
    </w:p>
    <w:p>
      <w:pPr>
        <w:spacing w:after="0" w:line="19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On January 28, 2026, we entered into a securities purchase agreement with certain purchasers (the “Purchasers”) pursuant to which we agreed to issue and sell to the Purchasers in a private placement offering exempt from registration under the Securities Act of 1933, as amended, or the Securities Act, and the Purchasers agreed to purchase from us</w:t>
      </w:r>
    </w:p>
    <w:p>
      <w:pPr>
        <w:spacing w:after="0" w:line="2" w:lineRule="exact"/>
        <w:rPr>
          <w:sz w:val="20"/>
          <w:szCs w:val="20"/>
          <w:color w:val="auto"/>
        </w:rPr>
      </w:pPr>
    </w:p>
    <w:p>
      <w:pPr>
        <w:ind w:right="80" w:firstLine="7"/>
        <w:spacing w:after="0" w:line="239" w:lineRule="auto"/>
        <w:tabs>
          <w:tab w:leader="none" w:pos="23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1,877,677 shares of our common stock at a purchase price of $0.8891 per share (the “January 2026 Shares”), (ii) pre-funded common stock purchase warrants at a purchase price of $0.8890 to purchase an aggregate of up</w:t>
      </w:r>
    </w:p>
    <w:p>
      <w:pPr>
        <w:spacing w:after="0" w:line="1" w:lineRule="exact"/>
        <w:rPr>
          <w:rFonts w:ascii="Times New Roman" w:cs="Times New Roman" w:eastAsia="Times New Roman" w:hAnsi="Times New Roman"/>
          <w:sz w:val="20"/>
          <w:szCs w:val="20"/>
          <w:color w:val="auto"/>
        </w:rPr>
      </w:pPr>
    </w:p>
    <w:p>
      <w:pPr>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4,411,180 shares of our common stock at an exercise price of $0.001 per share (the “January 2026 Pre-Funded Shares”), (iii) common stock purchase warrants to purchase up to 6,288,857 shares of our common stock at an exercise price of $0.765 per share (the “January 2026 Warrants”). The January 2026 Warrants will be exercisable until the two-year anniversary of issuance. To the extent that the exercise of a January 2026 Warrant would result in the holder beneficially owning greater than 4.99% (or, at the election of the holder, greater than 9.99%) of our outstanding common</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9700"/>
          </w:cols>
          <w:pgMar w:left="1080" w:top="1066" w:right="1100" w:bottom="542" w:gutter="0" w:footer="0" w:header="0"/>
          <w:type w:val="continuous"/>
        </w:sectPr>
      </w:pPr>
    </w:p>
    <w:bookmarkStart w:id="122" w:name="page123"/>
    <w:bookmarkEnd w:id="122"/>
    <w:p>
      <w:pPr>
        <w:ind w:right="100"/>
        <w:spacing w:after="0" w:line="253" w:lineRule="auto"/>
        <w:rPr>
          <w:sz w:val="20"/>
          <w:szCs w:val="20"/>
          <w:color w:val="auto"/>
        </w:rPr>
      </w:pPr>
      <w:r>
        <w:rPr>
          <w:rFonts w:ascii="Times New Roman" w:cs="Times New Roman" w:eastAsia="Times New Roman" w:hAnsi="Times New Roman"/>
          <w:sz w:val="20"/>
          <w:szCs w:val="20"/>
          <w:color w:val="auto"/>
        </w:rPr>
        <w:t>stock immediately following such exercise, the holder will instead receive pre- funded warrants in substantially the same form as the pre-funded warrants issued at closing. The aggregate upfront gross proceeds from the issuance of common stock and pre-funded common stock purchase warrants totaled approximately $5.6 million, before deducting placement agent fees and offering costs of approximately $0.4 million.</w:t>
      </w:r>
    </w:p>
    <w:p>
      <w:pPr>
        <w:spacing w:after="0" w:line="19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 the future, we may periodically offer securities in amounts, prices and terms to be announced when and if the securities are offered. If any of the securities covered by the 2024 Shelf Registration Statement are offered for sale, a prospectus supplement will be prepared and filed with the SEC containing specific information about the terms of such offering at that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120" w:type="dxa"/>
            <w:vAlign w:val="bottom"/>
            <w:vMerge w:val="restart"/>
          </w:tcPr>
          <w:p>
            <w:pPr>
              <w:jc w:val="right"/>
              <w:ind w:right="4500"/>
              <w:spacing w:after="0"/>
              <w:rPr>
                <w:sz w:val="20"/>
                <w:szCs w:val="20"/>
                <w:color w:val="auto"/>
              </w:rPr>
            </w:pPr>
            <w:r>
              <w:rPr>
                <w:rFonts w:ascii="Times New Roman" w:cs="Times New Roman" w:eastAsia="Times New Roman" w:hAnsi="Times New Roman"/>
                <w:sz w:val="20"/>
                <w:szCs w:val="20"/>
                <w:color w:val="auto"/>
                <w:w w:val="99"/>
              </w:rPr>
              <w:t>Net cash provided by (used in):</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7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Operating activities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(12,894,439)</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(13,556,718)</w:t>
            </w: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Investing activities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(15,478)</w:t>
            </w:r>
          </w:p>
        </w:tc>
        <w:tc>
          <w:tcPr>
            <w:tcW w:w="0" w:type="dxa"/>
            <w:vAlign w:val="bottom"/>
          </w:tcPr>
          <w:p>
            <w:pPr>
              <w:spacing w:after="0"/>
              <w:rPr>
                <w:sz w:val="1"/>
                <w:szCs w:val="1"/>
                <w:color w:val="auto"/>
              </w:rPr>
            </w:pPr>
          </w:p>
        </w:tc>
      </w:tr>
      <w:tr>
        <w:trPr>
          <w:trHeight w:val="25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Financing activities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4,640,238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14,821,895</w:t>
            </w: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.Changeincashandcashequivalents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(8,254,201)</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1,249,699</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used in operating activities resulted primarily from our net losses adjusted for non-cash charges and changes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working capital. Net cash used in operating activities was $12.9 million for the year ended</w:t>
      </w:r>
    </w:p>
    <w:p>
      <w:pPr>
        <w:spacing w:after="0"/>
        <w:rPr>
          <w:sz w:val="20"/>
          <w:szCs w:val="20"/>
          <w:color w:val="auto"/>
        </w:rPr>
      </w:pPr>
      <w:r>
        <w:rPr>
          <w:rFonts w:ascii="Times New Roman" w:cs="Times New Roman" w:eastAsia="Times New Roman" w:hAnsi="Times New Roman"/>
          <w:sz w:val="20"/>
          <w:szCs w:val="20"/>
          <w:color w:val="auto"/>
        </w:rPr>
        <w:t>December 31, 2025 compared to $13.6 million for the year ended December 31, 2024. The decrease in net cash used in</w:t>
      </w:r>
    </w:p>
    <w:p>
      <w:pPr>
        <w:spacing w:after="0"/>
        <w:rPr>
          <w:sz w:val="20"/>
          <w:szCs w:val="20"/>
          <w:color w:val="auto"/>
        </w:rPr>
      </w:pPr>
      <w:r>
        <w:rPr>
          <w:rFonts w:ascii="Times New Roman" w:cs="Times New Roman" w:eastAsia="Times New Roman" w:hAnsi="Times New Roman"/>
          <w:sz w:val="20"/>
          <w:szCs w:val="20"/>
          <w:color w:val="auto"/>
        </w:rPr>
        <w:t>operating activities of $0.7 million was primarily attributable to a change in operating assets and liabilities of $0.1</w:t>
      </w:r>
    </w:p>
    <w:p>
      <w:pPr>
        <w:spacing w:after="0"/>
        <w:rPr>
          <w:sz w:val="20"/>
          <w:szCs w:val="20"/>
          <w:color w:val="auto"/>
        </w:rPr>
      </w:pPr>
      <w:r>
        <w:rPr>
          <w:rFonts w:ascii="Times New Roman" w:cs="Times New Roman" w:eastAsia="Times New Roman" w:hAnsi="Times New Roman"/>
          <w:sz w:val="20"/>
          <w:szCs w:val="20"/>
          <w:color w:val="auto"/>
        </w:rPr>
        <w:t>million, partially offset by a decrease in our net loss of $0.4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7"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9"/>
          <w:szCs w:val="19"/>
          <w:color w:val="auto"/>
        </w:rPr>
        <w:t>No cash was used in or provided by investing activities for the year ended December 31, 2025. Cash used in investing activities for the year ended December 31, 2024 of $15,478 was for the purchase of property and equipment.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Net cash provided by financing activities was $4.6 million for the year ended December 31, 2025. Cash provided by financing activities was attributable to the net proceeds of $2.7 million, after deducting underwriting discounts and offering expenses of approximately $0.3 million, received from the sale of 26,459 shares of common stock, 2,596,564 pre-funded common stock purchase warrants, 2,623,023 common stock purchase warrants and 257,510 placement agent common stock purchase warrants in December 2025 and net proceeds of $1.9 million from the sale of 1,337,948 shares of common stock pursuant to at-the-market stock sales.</w:t>
      </w:r>
    </w:p>
    <w:p>
      <w:pPr>
        <w:spacing w:after="0" w:line="20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Net cash provided by financing activities was $14.8 million for the year ended December 31, 2024. Cash provided by financing activities was attributable to the net proceeds of $14.7 million, after deducting underwriting discounts and offering expenses of approximately $1.3 million, received from the sale of 1,687,712 shares of common stock, 507,076 pre-funded common stock purchase warrants, 1,097,394 tranche A common stock purchase warrants and 1,097,394 tranche B common stock purchase warrants in March 2024 and net proceeds of $0.1 million from the sale of 41,152 shares of common stock pursuant to at-the-market stock sales.</w:t>
      </w:r>
    </w:p>
    <w:p>
      <w:pPr>
        <w:sectPr>
          <w:pgSz w:w="11880" w:h="15480" w:orient="portrait"/>
          <w:cols w:equalWidth="0" w:num="1">
            <w:col w:w="9720"/>
          </w:cols>
          <w:pgMar w:left="1080" w:top="1066"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9720"/>
          </w:cols>
          <w:pgMar w:left="1080" w:top="1066" w:right="1080" w:bottom="542"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3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0"/>
          <w:szCs w:val="20"/>
          <w:color w:val="auto"/>
        </w:rPr>
        <w:t>We expect our expenses to increase in connection with our ongoing and planned development activities. In addition, we have incurred and continue to incur additional costs associated with operating as a public company. We expect that our expenses will increase substantially if and as we:</w:t>
      </w:r>
    </w:p>
    <w:p>
      <w:pPr>
        <w:spacing w:after="0" w:line="200" w:lineRule="exact"/>
        <w:rPr>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and conduct clinical trials and additional preclinical research for our product candidates;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seek to identify and develop additional product candidates;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seek marketing approvals for any of our product candidates that successfully complete clinical trials, if any;</w:t>
      </w:r>
    </w:p>
    <w:p>
      <w:pPr>
        <w:spacing w:after="0" w:line="238" w:lineRule="exact"/>
        <w:rPr>
          <w:rFonts w:ascii="Symbol" w:cs="Symbol" w:eastAsia="Symbol" w:hAnsi="Symbol"/>
          <w:sz w:val="20"/>
          <w:szCs w:val="20"/>
          <w:color w:val="auto"/>
        </w:rPr>
      </w:pPr>
    </w:p>
    <w:p>
      <w:pPr>
        <w:ind w:left="360" w:right="100" w:hanging="353"/>
        <w:spacing w:after="0" w:line="262" w:lineRule="auto"/>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 sales, marketing, manufacturing and distribution infrastructure to commercialize any products for which we may obtain marketing approval;</w:t>
      </w:r>
    </w:p>
    <w:p>
      <w:pPr>
        <w:spacing w:after="0" w:line="195" w:lineRule="exact"/>
        <w:rPr>
          <w:rFonts w:ascii="Symbol" w:cs="Symbol" w:eastAsia="Symbol" w:hAnsi="Symbol"/>
          <w:sz w:val="20"/>
          <w:szCs w:val="20"/>
          <w:color w:val="auto"/>
        </w:rPr>
      </w:pPr>
    </w:p>
    <w:p>
      <w:pPr>
        <w:ind w:left="360" w:right="520" w:hanging="353"/>
        <w:spacing w:after="0" w:line="262" w:lineRule="auto"/>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the manufacture of larger quantities of our product candidates for clinical development and potentially commercialization;</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expand, protect and enforce our intellectual property portfolio;</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acquire or in-license other drugs and technologies;</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defend against any claims of infringement, misappropriation or other violation of third-party intellectual property;</w:t>
      </w:r>
    </w:p>
    <w:p>
      <w:pPr>
        <w:spacing w:after="0" w:line="239"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hire and retain additional clinical, quality control and scientific personnel;</w:t>
      </w:r>
    </w:p>
    <w:p>
      <w:pPr>
        <w:spacing w:after="0" w:line="238"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build out new facilities or expand existing facilities to support our ongoing development activity;</w:t>
      </w:r>
    </w:p>
    <w:p>
      <w:pPr>
        <w:spacing w:after="0" w:line="238" w:lineRule="exact"/>
        <w:rPr>
          <w:rFonts w:ascii="Symbol" w:cs="Symbol" w:eastAsia="Symbol" w:hAnsi="Symbol"/>
          <w:sz w:val="20"/>
          <w:szCs w:val="20"/>
          <w:color w:val="auto"/>
        </w:rPr>
      </w:pPr>
    </w:p>
    <w:p>
      <w:pPr>
        <w:ind w:left="360" w:right="180" w:hanging="353"/>
        <w:spacing w:after="0" w:line="262" w:lineRule="auto"/>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drug development, any future commercialization efforts; and</w:t>
      </w:r>
    </w:p>
    <w:p>
      <w:pPr>
        <w:spacing w:after="0" w:line="196" w:lineRule="exact"/>
        <w:rPr>
          <w:rFonts w:ascii="Symbol" w:cs="Symbol" w:eastAsia="Symbol" w:hAnsi="Symbol"/>
          <w:sz w:val="20"/>
          <w:szCs w:val="20"/>
          <w:color w:val="auto"/>
        </w:rPr>
      </w:pPr>
    </w:p>
    <w:p>
      <w:pPr>
        <w:ind w:left="360" w:hanging="353"/>
        <w:spacing w:after="0"/>
        <w:tabs>
          <w:tab w:leader="none" w:pos="360" w:val="left"/>
        </w:tabs>
        <w:numPr>
          <w:ilvl w:val="0"/>
          <w:numId w:val="67"/>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 to operate as a public company.</w:t>
      </w:r>
    </w:p>
    <w:p>
      <w:pPr>
        <w:spacing w:after="0" w:line="2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As of December 31, 2025, we had cash and cash equivalents of $14.6 million. We believe that our existing cash and cash equivalents as of the year ended December 31, 2025 and the gross proceeds of approximately $5.6 million received from our private placement of our common stock and warrants in January 2026, before deducting placement agent fees and offering costs of approximately $0.4 million, will be sufficient to meet our currently projected operating expenses and capital expenditure requirements into the first quarter of 2027. We have based this estimate on assumptions that may prove to be wrong, and we could exhaust our available capital resources sooner than we expect. We have concluded that substantial doubt exists about our ability to continue as a going concern for a period of at least 12 months from the date of the issuance of these audited consolidated financial statements.</w:t>
      </w:r>
    </w:p>
    <w:p>
      <w:pPr>
        <w:spacing w:after="0" w:line="203"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211" w:lineRule="exact"/>
        <w:rPr>
          <w:sz w:val="20"/>
          <w:szCs w:val="20"/>
          <w:color w:val="auto"/>
        </w:rPr>
      </w:pPr>
    </w:p>
    <w:p>
      <w:pPr>
        <w:ind w:left="360" w:right="240" w:hanging="353"/>
        <w:spacing w:after="0" w:line="262" w:lineRule="auto"/>
        <w:tabs>
          <w:tab w:leader="none" w:pos="360" w:val="left"/>
        </w:tabs>
        <w:numPr>
          <w:ilvl w:val="0"/>
          <w:numId w:val="68"/>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and costs of our planned clinical trials, drug discovery and preclinical research for our product candidates;</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68"/>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future product candidates that we pursue and their development requirements;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9700"/>
          </w:cols>
          <w:pgMar w:left="1080" w:top="1067" w:right="1100" w:bottom="542" w:gutter="0" w:footer="0" w:header="0"/>
          <w:type w:val="continuous"/>
        </w:sectPr>
      </w:pPr>
    </w:p>
    <w:bookmarkStart w:id="124" w:name="page125"/>
    <w:bookmarkEnd w:id="124"/>
    <w:p>
      <w:pPr>
        <w:ind w:left="360" w:hanging="353"/>
        <w:spacing w:after="0"/>
        <w:tabs>
          <w:tab w:leader="none" w:pos="360" w:val="left"/>
        </w:tabs>
        <w:numPr>
          <w:ilvl w:val="0"/>
          <w:numId w:val="6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238" w:lineRule="exact"/>
        <w:rPr>
          <w:rFonts w:ascii="Symbol" w:cs="Symbol" w:eastAsia="Symbol" w:hAnsi="Symbol"/>
          <w:sz w:val="20"/>
          <w:szCs w:val="20"/>
          <w:color w:val="auto"/>
        </w:rPr>
      </w:pPr>
    </w:p>
    <w:p>
      <w:pPr>
        <w:ind w:left="360" w:right="300" w:hanging="353"/>
        <w:spacing w:after="0" w:line="247" w:lineRule="auto"/>
        <w:tabs>
          <w:tab w:leader="none" w:pos="360" w:val="left"/>
        </w:tabs>
        <w:numPr>
          <w:ilvl w:val="0"/>
          <w:numId w:val="69"/>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acquire or invest in businesses, products and technologies, including entering into or maintaining licensing or collaboration arrangements for product candidates on favorable terms, and although we may explore such opportunities from time to time during the normal course of business, we currently have no commitments or agreements to complete any such transactions;</w:t>
      </w:r>
    </w:p>
    <w:p>
      <w:pPr>
        <w:spacing w:after="0" w:line="212" w:lineRule="exact"/>
        <w:rPr>
          <w:rFonts w:ascii="Symbol" w:cs="Symbol" w:eastAsia="Symbol" w:hAnsi="Symbol"/>
          <w:sz w:val="20"/>
          <w:szCs w:val="20"/>
          <w:color w:val="auto"/>
        </w:rPr>
      </w:pPr>
    </w:p>
    <w:p>
      <w:pPr>
        <w:ind w:left="360" w:right="160" w:hanging="353"/>
        <w:spacing w:after="0" w:line="247" w:lineRule="auto"/>
        <w:tabs>
          <w:tab w:leader="none" w:pos="360" w:val="left"/>
        </w:tabs>
        <w:numPr>
          <w:ilvl w:val="0"/>
          <w:numId w:val="6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p>
      <w:pPr>
        <w:spacing w:after="0" w:line="211" w:lineRule="exact"/>
        <w:rPr>
          <w:rFonts w:ascii="Symbol" w:cs="Symbol" w:eastAsia="Symbol" w:hAnsi="Symbol"/>
          <w:sz w:val="20"/>
          <w:szCs w:val="20"/>
          <w:color w:val="auto"/>
        </w:rPr>
      </w:pPr>
    </w:p>
    <w:p>
      <w:pPr>
        <w:ind w:left="360" w:right="40" w:hanging="353"/>
        <w:spacing w:after="0" w:line="262" w:lineRule="auto"/>
        <w:tabs>
          <w:tab w:leader="none" w:pos="360" w:val="left"/>
        </w:tabs>
        <w:numPr>
          <w:ilvl w:val="0"/>
          <w:numId w:val="69"/>
        </w:numPr>
        <w:rPr>
          <w:rFonts w:ascii="Symbol" w:cs="Symbol" w:eastAsia="Symbol" w:hAnsi="Symbol"/>
          <w:sz w:val="20"/>
          <w:szCs w:val="20"/>
          <w:color w:val="auto"/>
        </w:rPr>
      </w:pPr>
      <w:r>
        <w:rPr>
          <w:rFonts w:ascii="Times New Roman" w:cs="Times New Roman" w:eastAsia="Times New Roman" w:hAnsi="Times New Roman"/>
          <w:sz w:val="20"/>
          <w:szCs w:val="20"/>
          <w:color w:val="auto"/>
        </w:rPr>
        <w:t>the amount of revenue, if any, received from commercial sales of our product candidates, should any of our product candidates receive marketing approval;</w:t>
      </w:r>
    </w:p>
    <w:p>
      <w:pPr>
        <w:spacing w:after="0" w:line="195" w:lineRule="exact"/>
        <w:rPr>
          <w:rFonts w:ascii="Symbol" w:cs="Symbol" w:eastAsia="Symbol" w:hAnsi="Symbol"/>
          <w:sz w:val="20"/>
          <w:szCs w:val="20"/>
          <w:color w:val="auto"/>
        </w:rPr>
      </w:pPr>
    </w:p>
    <w:p>
      <w:pPr>
        <w:ind w:left="360" w:right="720" w:hanging="353"/>
        <w:spacing w:after="0" w:line="262" w:lineRule="auto"/>
        <w:tabs>
          <w:tab w:leader="none" w:pos="360" w:val="left"/>
        </w:tabs>
        <w:numPr>
          <w:ilvl w:val="0"/>
          <w:numId w:val="6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protecting and enforcing our intellectual property rights and defending intellectual property-related claims;</w:t>
      </w:r>
    </w:p>
    <w:p>
      <w:pPr>
        <w:spacing w:after="0" w:line="196" w:lineRule="exact"/>
        <w:rPr>
          <w:rFonts w:ascii="Symbol" w:cs="Symbol" w:eastAsia="Symbol" w:hAnsi="Symbol"/>
          <w:sz w:val="20"/>
          <w:szCs w:val="20"/>
          <w:color w:val="auto"/>
        </w:rPr>
      </w:pPr>
    </w:p>
    <w:p>
      <w:pPr>
        <w:ind w:left="360" w:right="20" w:hanging="353"/>
        <w:spacing w:after="0" w:line="262" w:lineRule="auto"/>
        <w:tabs>
          <w:tab w:leader="none" w:pos="360" w:val="left"/>
        </w:tabs>
        <w:numPr>
          <w:ilvl w:val="0"/>
          <w:numId w:val="69"/>
        </w:numPr>
        <w:rPr>
          <w:rFonts w:ascii="Symbol" w:cs="Symbol" w:eastAsia="Symbol" w:hAnsi="Symbol"/>
          <w:sz w:val="20"/>
          <w:szCs w:val="20"/>
          <w:color w:val="auto"/>
        </w:rPr>
      </w:pPr>
      <w:r>
        <w:rPr>
          <w:rFonts w:ascii="Times New Roman" w:cs="Times New Roman" w:eastAsia="Times New Roman" w:hAnsi="Times New Roman"/>
          <w:sz w:val="20"/>
          <w:szCs w:val="20"/>
          <w:color w:val="auto"/>
        </w:rPr>
        <w:t>our headcount growth and associated costs as we expand our business operations and our research and development activities; and</w:t>
      </w:r>
    </w:p>
    <w:p>
      <w:pPr>
        <w:spacing w:after="0" w:line="195" w:lineRule="exact"/>
        <w:rPr>
          <w:rFonts w:ascii="Symbol" w:cs="Symbol" w:eastAsia="Symbol" w:hAnsi="Symbol"/>
          <w:sz w:val="20"/>
          <w:szCs w:val="20"/>
          <w:color w:val="auto"/>
        </w:rPr>
      </w:pPr>
    </w:p>
    <w:p>
      <w:pPr>
        <w:ind w:left="360" w:hanging="353"/>
        <w:spacing w:after="0"/>
        <w:tabs>
          <w:tab w:leader="none" w:pos="360" w:val="left"/>
        </w:tabs>
        <w:numPr>
          <w:ilvl w:val="0"/>
          <w:numId w:val="6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22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and grants from government and other (non-government) organizations.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 In addition, our ability to engage in certain types of capital raising transactions may be limited by the Listing Rules of the Nasdaq Stock Market and/or General Instruction I.B.6 of Form S-3 if the market value of our common stock held by non-affiliates is ever below $75 million at a time we seek to utilize our effective registration statement on Form S-3.</w:t>
      </w:r>
    </w:p>
    <w:p>
      <w:pPr>
        <w:spacing w:after="0" w:line="20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Developing drug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20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Adequate additional funds may not be available to us on acceptable terms, or at all. We do not currently have any committed external source of funds. To the extent that we raise additional capital through the sale of equity or convertible debt securities, ownership interests in our securities may be diluted, and the terms of these securities may include liquidation or other preferences and anti-dilution protections that could adversely affect the rights of our common stockholders. Additional debt or preferred equity financing, if available, may involve agreements that include</w:t>
      </w:r>
    </w:p>
    <w:p>
      <w:pPr>
        <w:sectPr>
          <w:pgSz w:w="11880" w:h="15480" w:orient="portrait"/>
          <w:cols w:equalWidth="0" w:num="1">
            <w:col w:w="9660"/>
          </w:cols>
          <w:pgMar w:left="1080" w:top="1082" w:right="11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9660"/>
          </w:cols>
          <w:pgMar w:left="1080" w:top="1082" w:right="1140" w:bottom="542" w:gutter="0" w:footer="0" w:header="0"/>
          <w:type w:val="continuous"/>
        </w:sectPr>
      </w:pPr>
    </w:p>
    <w:bookmarkStart w:id="125" w:name="page126"/>
    <w:bookmarkEnd w:id="125"/>
    <w:p>
      <w:pPr>
        <w:ind w:right="120"/>
        <w:spacing w:after="0" w:line="259" w:lineRule="auto"/>
        <w:rPr>
          <w:sz w:val="20"/>
          <w:szCs w:val="20"/>
          <w:color w:val="auto"/>
        </w:rPr>
      </w:pPr>
      <w:r>
        <w:rPr>
          <w:rFonts w:ascii="Times New Roman" w:cs="Times New Roman" w:eastAsia="Times New Roman" w:hAnsi="Times New Roman"/>
          <w:sz w:val="20"/>
          <w:szCs w:val="20"/>
          <w:color w:val="auto"/>
        </w:rPr>
        <w:t>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existing ownership interest.</w:t>
      </w:r>
    </w:p>
    <w:p>
      <w:pPr>
        <w:spacing w:after="0" w:line="18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4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We have an annual operating lease for office and laboratory space in Doylestown, Pennsylvania which is currently set to expire on October 31, 2026. Rent expense under this lease is $115,000 annually and the company has applied the short-term exception to this lease.</w:t>
      </w:r>
    </w:p>
    <w:p>
      <w:pPr>
        <w:spacing w:after="0" w:line="18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and, as a result, are not included in the table of contractual obligations above. Payments due upon cancelation consist only of payments for services provided and expenses incurred up to the date of cancelation.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43"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color w:val="auto"/>
        </w:rPr>
        <w:t>We did not have during the periods presented, and we do not currently have, any off-balance sheet arrangements, as defined in the rules and regulations of the SEC.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3" w:lineRule="exact"/>
        <w:rPr>
          <w:sz w:val="20"/>
          <w:szCs w:val="20"/>
          <w:color w:val="auto"/>
        </w:rPr>
      </w:pPr>
    </w:p>
    <w:p>
      <w:pPr>
        <w:jc w:val="both"/>
        <w:ind w:right="640"/>
        <w:spacing w:after="0" w:line="259" w:lineRule="auto"/>
        <w:rPr>
          <w:sz w:val="20"/>
          <w:szCs w:val="20"/>
          <w:color w:val="auto"/>
        </w:rPr>
      </w:pPr>
      <w:r>
        <w:rPr>
          <w:rFonts w:ascii="Times New Roman" w:cs="Times New Roman" w:eastAsia="Times New Roman" w:hAnsi="Times New Roman"/>
          <w:sz w:val="20"/>
          <w:szCs w:val="20"/>
          <w:color w:val="auto"/>
        </w:rPr>
        <w:t>See Note 2 to our consolidated financial statements included elsewhere in this Annual Report on Form 10 -K for information about recent accounting pronouncements, the timing of adoption, and our assessment, if any, of their potential impact on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Risk</w:t>
      </w:r>
    </w:p>
    <w:p>
      <w:pPr>
        <w:spacing w:after="0" w:line="2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exposed to market risk related changes in interest rates. As of December 31, 2025, our cash equivalents consisted of bank deposits and money market accounts. Our primary exposure to market risk is interest income sensitivity, which is affected by changes in the general level of U.S. interest rates. However, historical fluctuations in interest income have not been significant for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Exchange Rate Risk</w:t>
      </w:r>
    </w:p>
    <w:p>
      <w:pPr>
        <w:spacing w:after="0" w:line="238"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9"/>
          <w:szCs w:val="19"/>
          <w:color w:val="auto"/>
        </w:rPr>
        <w:t>We face market risk to the extent that changes in foreign currency exchange rates affect our non-U.S. dollar functional currency foreign subsidiary’s revenues, expenses, assets and liabilities. The financial position and results of operations of our subsidiary Aprea AB is measured using the foreign subsidiary’s local currency as the functional currency. Aprea AB cash accounts holding U.S. dollars are remeasured based upon the exchange rate at the date of remeasurement with the resulting gain or loss included in the consolidated statement of operations and comprehensive loss.</w:t>
      </w:r>
    </w:p>
    <w:p>
      <w:pPr>
        <w:sectPr>
          <w:pgSz w:w="11880" w:h="15480" w:orient="portrait"/>
          <w:cols w:equalWidth="0" w:num="1">
            <w:col w:w="9700"/>
          </w:cols>
          <w:pgMar w:left="1080" w:top="1066"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9700"/>
          </w:cols>
          <w:pgMar w:left="1080" w:top="1066" w:right="1100" w:bottom="542" w:gutter="0" w:footer="0" w:header="0"/>
          <w:type w:val="continuous"/>
        </w:sectPr>
      </w:pPr>
    </w:p>
    <w:bookmarkStart w:id="126" w:name="page127"/>
    <w:bookmarkEnd w:id="126"/>
    <w:p>
      <w:pPr>
        <w:ind w:right="300"/>
        <w:spacing w:after="0" w:line="259" w:lineRule="auto"/>
        <w:rPr>
          <w:sz w:val="20"/>
          <w:szCs w:val="20"/>
          <w:color w:val="auto"/>
        </w:rPr>
      </w:pPr>
      <w:r>
        <w:rPr>
          <w:rFonts w:ascii="Times New Roman" w:cs="Times New Roman" w:eastAsia="Times New Roman" w:hAnsi="Times New Roman"/>
          <w:sz w:val="20"/>
          <w:szCs w:val="20"/>
          <w:color w:val="auto"/>
        </w:rPr>
        <w:t>Our investments in foreign subsidiaries with a functional currency other than the U.S. dollar are generally considered long-term. In addition, we do not believe that we currently have any significant direct foreign exchange risk. Accordingly, we have not used any derivative financial instruments to hedge exposure to such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Inflation Risk</w:t>
      </w:r>
    </w:p>
    <w:p>
      <w:pPr>
        <w:spacing w:after="0" w:line="2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and pricing of contracts. We do not believe that inflation has had a material effect on our business, financial condition, or results of operations during the year ended December 31, 2025.</w:t>
      </w:r>
    </w:p>
    <w:p>
      <w:pPr>
        <w:sectPr>
          <w:pgSz w:w="11880" w:h="15480" w:orient="portrait"/>
          <w:cols w:equalWidth="0" w:num="1">
            <w:col w:w="9680"/>
          </w:cols>
          <w:pgMar w:left="1080" w:top="1066"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9680"/>
          </w:cols>
          <w:pgMar w:left="1080" w:top="1066" w:right="1120" w:bottom="542"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75"/>
        </w:trPr>
        <w:tc>
          <w:tcPr>
            <w:tcW w:w="9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480" w:type="dxa"/>
            <w:vAlign w:val="bottom"/>
          </w:tcPr>
          <w:p>
            <w:pPr>
              <w:spacing w:after="0"/>
              <w:rPr>
                <w:sz w:val="23"/>
                <w:szCs w:val="23"/>
                <w:color w:val="auto"/>
              </w:rPr>
            </w:pPr>
          </w:p>
        </w:tc>
      </w:tr>
      <w:tr>
        <w:trPr>
          <w:trHeight w:val="425"/>
        </w:trPr>
        <w:tc>
          <w:tcPr>
            <w:tcW w:w="9240" w:type="dxa"/>
            <w:vAlign w:val="bottom"/>
          </w:tcPr>
          <w:p>
            <w:pPr>
              <w:ind w:left="3800"/>
              <w:spacing w:after="0"/>
              <w:rPr>
                <w:sz w:val="20"/>
                <w:szCs w:val="20"/>
                <w:color w:val="auto"/>
              </w:rPr>
            </w:pPr>
            <w:r>
              <w:rPr>
                <w:rFonts w:ascii="Times New Roman" w:cs="Times New Roman" w:eastAsia="Times New Roman" w:hAnsi="Times New Roman"/>
                <w:sz w:val="20"/>
                <w:szCs w:val="20"/>
                <w:b w:val="1"/>
                <w:bCs w:val="1"/>
                <w:color w:val="auto"/>
              </w:rPr>
              <w:t>Aprea Therapeutics, Inc.</w:t>
            </w:r>
          </w:p>
        </w:tc>
        <w:tc>
          <w:tcPr>
            <w:tcW w:w="480" w:type="dxa"/>
            <w:vAlign w:val="bottom"/>
          </w:tcPr>
          <w:p>
            <w:pPr>
              <w:spacing w:after="0"/>
              <w:rPr>
                <w:sz w:val="24"/>
                <w:szCs w:val="24"/>
                <w:color w:val="auto"/>
              </w:rPr>
            </w:pPr>
          </w:p>
        </w:tc>
      </w:tr>
      <w:tr>
        <w:trPr>
          <w:trHeight w:val="275"/>
        </w:trPr>
        <w:tc>
          <w:tcPr>
            <w:tcW w:w="9240" w:type="dxa"/>
            <w:vAlign w:val="bottom"/>
          </w:tcPr>
          <w:p>
            <w:pPr>
              <w:ind w:left="30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480" w:type="dxa"/>
            <w:vAlign w:val="bottom"/>
          </w:tcPr>
          <w:p>
            <w:pPr>
              <w:spacing w:after="0"/>
              <w:rPr>
                <w:sz w:val="23"/>
                <w:szCs w:val="23"/>
                <w:color w:val="auto"/>
              </w:rPr>
            </w:pPr>
          </w:p>
        </w:tc>
      </w:tr>
      <w:tr>
        <w:trPr>
          <w:trHeight w:val="475"/>
        </w:trPr>
        <w:tc>
          <w:tcPr>
            <w:tcW w:w="9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274)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F-2</w:t>
            </w:r>
          </w:p>
        </w:tc>
      </w:tr>
      <w:tr>
        <w:trPr>
          <w:trHeight w:val="265"/>
        </w:trPr>
        <w:tc>
          <w:tcPr>
            <w:tcW w:w="92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Consolidated Balance Sheets as of December 31, 2025 and 2024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F-4</w:t>
            </w:r>
          </w:p>
        </w:tc>
      </w:tr>
      <w:tr>
        <w:trPr>
          <w:trHeight w:val="264"/>
        </w:trPr>
        <w:tc>
          <w:tcPr>
            <w:tcW w:w="9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for the years ended December 31, 2025 and</w:t>
            </w:r>
          </w:p>
        </w:tc>
        <w:tc>
          <w:tcPr>
            <w:tcW w:w="480" w:type="dxa"/>
            <w:vAlign w:val="bottom"/>
          </w:tcPr>
          <w:p>
            <w:pPr>
              <w:spacing w:after="0"/>
              <w:rPr>
                <w:sz w:val="22"/>
                <w:szCs w:val="22"/>
                <w:color w:val="auto"/>
              </w:rPr>
            </w:pPr>
          </w:p>
        </w:tc>
      </w:tr>
      <w:tr>
        <w:trPr>
          <w:trHeight w:val="264"/>
        </w:trPr>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7"/>
              </w:rPr>
              <w:t>2024 . . . . . . . . . . . . . . . . . . . . . . . . . . . . . . . . . . . . . . . . . . . . . . . . . . . . . . . . . . . . . . . . . . . . . . . . . . . . . . . . . . . . . . . .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F-5</w:t>
            </w:r>
          </w:p>
        </w:tc>
      </w:tr>
      <w:tr>
        <w:trPr>
          <w:trHeight w:val="265"/>
        </w:trPr>
        <w:tc>
          <w:tcPr>
            <w:tcW w:w="9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Consolidated Statements of Convertible Preferred Stock and Stockholders’ Equity for the years ended</w:t>
            </w:r>
          </w:p>
        </w:tc>
        <w:tc>
          <w:tcPr>
            <w:tcW w:w="480" w:type="dxa"/>
            <w:vAlign w:val="bottom"/>
          </w:tcPr>
          <w:p>
            <w:pPr>
              <w:spacing w:after="0"/>
              <w:rPr>
                <w:sz w:val="23"/>
                <w:szCs w:val="23"/>
                <w:color w:val="auto"/>
              </w:rPr>
            </w:pPr>
          </w:p>
        </w:tc>
      </w:tr>
      <w:tr>
        <w:trPr>
          <w:trHeight w:val="264"/>
        </w:trPr>
        <w:tc>
          <w:tcPr>
            <w:tcW w:w="92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December 31, 2025 and 2024 . . . . . . . . . .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F-6</w:t>
            </w:r>
          </w:p>
        </w:tc>
      </w:tr>
      <w:tr>
        <w:trPr>
          <w:trHeight w:val="265"/>
        </w:trPr>
        <w:tc>
          <w:tcPr>
            <w:tcW w:w="9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and 2024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F-7</w:t>
            </w:r>
          </w:p>
        </w:tc>
      </w:tr>
      <w:tr>
        <w:trPr>
          <w:trHeight w:val="267"/>
        </w:trPr>
        <w:tc>
          <w:tcPr>
            <w:tcW w:w="92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 . . . . . . . .</w:t>
            </w:r>
          </w:p>
        </w:tc>
        <w:tc>
          <w:tcPr>
            <w:tcW w:w="4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720"/>
          </w:cols>
          <w:pgMar w:left="1080" w:top="1293" w:right="1080" w:bottom="542" w:gutter="0" w:footer="0" w:header="0"/>
        </w:sectPr>
      </w:pPr>
    </w:p>
    <w:bookmarkStart w:id="128" w:name="page129"/>
    <w:bookmarkEnd w:id="128"/>
    <w:p>
      <w:pPr>
        <w:ind w:left="23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Aprea Therapeutics, Inc.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Aprea Therapeutics, Inc. and Subsidiaries (the “Company”) as of December 31, 2025 and 2024, and the related consolidated statements of operations and comprehensive loss, convertible preferred stock and stockholders’ equity, and cash flows for each of the years then ended, and the related notes (collectively referred to as the “financial statements”). In our opinion, the financial statements present fairly, in all material respects, the consolidated financial position of the Company as of December 31, 2025 and 2024, and the consolidated results of their operations and their cash flows for each of the years then ended, in conformity with accounting principles generally accepted in the United States of America.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1 to the financial statements, the Company continues to generate losses, has an accumulated deficit and its cash balance will not be sufficient to meet its projected operating expenses and capital expenditures for at least the next twelve months,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720"/>
          </w:cols>
          <w:pgMar w:left="1080" w:top="1293" w:right="1080" w:bottom="542"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Accruals for Clinical Trial Expenses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at each balance sheet date, the Company records its accrued clinical trial expenses resulting from its obligations under contracts with vendors, clinical research organizations and consultants in connection with performing research and development activities, and in making that accrual, may depend on factors such as successful enrollment of certain numbers of patients, site initiation, and the completion of contract milestones. The Company accounts for research and development expenses based on services that have been performed on the Company’s behalf and the level of service performed and the associated cost incurred for the service when an invoice has not been received. The Company’s accrual for clinical trial expenses of $0.9 million is included in accrued expenses on the December 31, 2025 consolidated balance sheet. The amounts accrued for clinical trial expenses represent the unpaid clinical trial expenses based on the information available to the Company at that time.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identified the completeness of the accrual for clinical trial expenses as a critical audit matter due to the materiality of the contract values between the Company and certain clinical research organizations and the need to determine progress or state of completion of trials or services completed. This in turn led to significant audit effort in performing our procedures and evaluating audit evidence relating to accruals made by management.</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financial statements. We obtained an understanding and evaluated the design of controls over the Company’s accrual process, including the process of accruing the expenses incurred to date based on the status of the clinical trials. Our procedures also included, among others, reading agreements and contract amendments entered into with vendors in connection with conducting clinical trials, evaluating the methods used in developing the accrual for clinical trial expenses and calculating the amounts that were unpaid at the balance sheet date. We confirmed selected amounts accrued directly with the third parties involved in performing the research and development services on behalf of the Company. We made direct inquiries of financial and clinical trial client personnel regarding status, change orders and progress towards completion of clinical trials and descriptions of future commitments. We also examined invoices issued by and payments made to service providers after the consolidated balance sheet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EisnerAmper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EISNERAMPER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rPr>
          <w:sz w:val="20"/>
          <w:szCs w:val="20"/>
          <w:color w:val="auto"/>
        </w:rPr>
      </w:pPr>
      <w:r>
        <w:rPr>
          <w:rFonts w:ascii="Times New Roman" w:cs="Times New Roman" w:eastAsia="Times New Roman" w:hAnsi="Times New Roman"/>
          <w:sz w:val="20"/>
          <w:szCs w:val="20"/>
          <w:color w:val="auto"/>
        </w:rPr>
        <w:t>March 16, 2026</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720"/>
          </w:cols>
          <w:pgMar w:left="1080" w:top="1063" w:right="1080" w:bottom="542"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7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14,599,347</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22,849,885</w:t>
            </w:r>
          </w:p>
        </w:tc>
        <w:tc>
          <w:tcPr>
            <w:tcW w:w="0" w:type="dxa"/>
            <w:vAlign w:val="bottom"/>
          </w:tcPr>
          <w:p>
            <w:pPr>
              <w:spacing w:after="0"/>
              <w:rPr>
                <w:sz w:val="1"/>
                <w:szCs w:val="1"/>
                <w:color w:val="auto"/>
              </w:rPr>
            </w:pPr>
          </w:p>
        </w:tc>
      </w:tr>
      <w:tr>
        <w:trPr>
          <w:trHeight w:val="250"/>
        </w:trPr>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961,899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726,254</w:t>
            </w:r>
          </w:p>
        </w:tc>
        <w:tc>
          <w:tcPr>
            <w:tcW w:w="0" w:type="dxa"/>
            <w:vAlign w:val="bottom"/>
          </w:tcPr>
          <w:p>
            <w:pPr>
              <w:spacing w:after="0"/>
              <w:rPr>
                <w:sz w:val="1"/>
                <w:szCs w:val="1"/>
                <w:color w:val="auto"/>
              </w:rPr>
            </w:pPr>
          </w:p>
        </w:tc>
      </w:tr>
      <w:tr>
        <w:trPr>
          <w:trHeight w:val="201"/>
        </w:trPr>
        <w:tc>
          <w:tcPr>
            <w:tcW w:w="702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 . . . . . . . . . . . .Totalcurrentassets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15,561,246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23,576,139</w:t>
            </w:r>
          </w:p>
        </w:tc>
        <w:tc>
          <w:tcPr>
            <w:tcW w:w="0" w:type="dxa"/>
            <w:vAlign w:val="bottom"/>
          </w:tcPr>
          <w:p>
            <w:pPr>
              <w:spacing w:after="0"/>
              <w:rPr>
                <w:sz w:val="1"/>
                <w:szCs w:val="1"/>
                <w:color w:val="auto"/>
              </w:rPr>
            </w:pPr>
          </w:p>
        </w:tc>
      </w:tr>
      <w:tr>
        <w:trPr>
          <w:trHeight w:val="229"/>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Property and equipment, net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81,522</w:t>
            </w:r>
          </w:p>
        </w:tc>
        <w:tc>
          <w:tcPr>
            <w:tcW w:w="0" w:type="dxa"/>
            <w:vAlign w:val="bottom"/>
          </w:tcPr>
          <w:p>
            <w:pPr>
              <w:spacing w:after="0"/>
              <w:rPr>
                <w:sz w:val="1"/>
                <w:szCs w:val="1"/>
                <w:color w:val="auto"/>
              </w:rPr>
            </w:pPr>
          </w:p>
        </w:tc>
      </w:tr>
      <w:tr>
        <w:trPr>
          <w:trHeight w:val="230"/>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Restricted cash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41,186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40,170</w:t>
            </w:r>
          </w:p>
        </w:tc>
        <w:tc>
          <w:tcPr>
            <w:tcW w:w="0" w:type="dxa"/>
            <w:vAlign w:val="bottom"/>
          </w:tcPr>
          <w:p>
            <w:pPr>
              <w:spacing w:after="0"/>
              <w:rPr>
                <w:sz w:val="1"/>
                <w:szCs w:val="1"/>
                <w:color w:val="auto"/>
              </w:rPr>
            </w:pPr>
          </w:p>
        </w:tc>
      </w:tr>
      <w:tr>
        <w:trPr>
          <w:trHeight w:val="250"/>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Other noncurrent assets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271,162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281,662</w:t>
            </w:r>
          </w:p>
        </w:tc>
        <w:tc>
          <w:tcPr>
            <w:tcW w:w="0" w:type="dxa"/>
            <w:vAlign w:val="bottom"/>
          </w:tcPr>
          <w:p>
            <w:pPr>
              <w:spacing w:after="0"/>
              <w:rPr>
                <w:sz w:val="1"/>
                <w:szCs w:val="1"/>
                <w:color w:val="auto"/>
              </w:rPr>
            </w:pPr>
          </w:p>
        </w:tc>
      </w:tr>
      <w:tr>
        <w:trPr>
          <w:trHeight w:val="229"/>
        </w:trPr>
        <w:tc>
          <w:tcPr>
            <w:tcW w:w="702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.Totalassets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15,933,401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23,979,493</w:t>
            </w:r>
          </w:p>
        </w:tc>
        <w:tc>
          <w:tcPr>
            <w:tcW w:w="0" w:type="dxa"/>
            <w:vAlign w:val="bottom"/>
          </w:tcPr>
          <w:p>
            <w:pPr>
              <w:spacing w:after="0"/>
              <w:rPr>
                <w:sz w:val="1"/>
                <w:szCs w:val="1"/>
                <w:color w:val="auto"/>
              </w:rPr>
            </w:pPr>
          </w:p>
        </w:tc>
      </w:tr>
      <w:tr>
        <w:trPr>
          <w:trHeight w:val="211"/>
        </w:trPr>
        <w:tc>
          <w:tcPr>
            <w:tcW w:w="7020" w:type="dxa"/>
            <w:vAlign w:val="bottom"/>
          </w:tcPr>
          <w:p>
            <w:pPr>
              <w:spacing w:after="0" w:line="211"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713,668</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1,352,240</w:t>
            </w:r>
          </w:p>
        </w:tc>
        <w:tc>
          <w:tcPr>
            <w:tcW w:w="0" w:type="dxa"/>
            <w:vAlign w:val="bottom"/>
          </w:tcPr>
          <w:p>
            <w:pPr>
              <w:spacing w:after="0"/>
              <w:rPr>
                <w:sz w:val="1"/>
                <w:szCs w:val="1"/>
                <w:color w:val="auto"/>
              </w:rPr>
            </w:pPr>
          </w:p>
        </w:tc>
      </w:tr>
      <w:tr>
        <w:trPr>
          <w:trHeight w:val="250"/>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2,050,690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2,008,735</w:t>
            </w:r>
          </w:p>
        </w:tc>
        <w:tc>
          <w:tcPr>
            <w:tcW w:w="0" w:type="dxa"/>
            <w:vAlign w:val="bottom"/>
          </w:tcPr>
          <w:p>
            <w:pPr>
              <w:spacing w:after="0"/>
              <w:rPr>
                <w:sz w:val="1"/>
                <w:szCs w:val="1"/>
                <w:color w:val="auto"/>
              </w:rPr>
            </w:pPr>
          </w:p>
        </w:tc>
      </w:tr>
      <w:tr>
        <w:trPr>
          <w:trHeight w:val="220"/>
        </w:trPr>
        <w:tc>
          <w:tcPr>
            <w:tcW w:w="702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.Totalcurrentliabilities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2,764,358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3,360,975</w:t>
            </w:r>
          </w:p>
        </w:tc>
        <w:tc>
          <w:tcPr>
            <w:tcW w:w="0" w:type="dxa"/>
            <w:vAlign w:val="bottom"/>
          </w:tcPr>
          <w:p>
            <w:pPr>
              <w:spacing w:after="0"/>
              <w:rPr>
                <w:sz w:val="1"/>
                <w:szCs w:val="1"/>
                <w:color w:val="auto"/>
              </w:rPr>
            </w:pPr>
          </w:p>
        </w:tc>
      </w:tr>
      <w:tr>
        <w:trPr>
          <w:trHeight w:val="199"/>
        </w:trPr>
        <w:tc>
          <w:tcPr>
            <w:tcW w:w="70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Commitments and contingencies (Note 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Series A convertible preferred stock, $0.001 par value, 40,000,000 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authorized; 31,194 and 56,227 shares issued and outstanding at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December 31, 2025 and December 31, 2024, respectively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727,361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1,311,063</w:t>
            </w:r>
          </w:p>
        </w:tc>
        <w:tc>
          <w:tcPr>
            <w:tcW w:w="0" w:type="dxa"/>
            <w:vAlign w:val="bottom"/>
          </w:tcPr>
          <w:p>
            <w:pPr>
              <w:spacing w:after="0"/>
              <w:rPr>
                <w:sz w:val="1"/>
                <w:szCs w:val="1"/>
                <w:color w:val="auto"/>
              </w:rPr>
            </w:pPr>
          </w:p>
        </w:tc>
      </w:tr>
      <w:tr>
        <w:trPr>
          <w:trHeight w:val="201"/>
        </w:trPr>
        <w:tc>
          <w:tcPr>
            <w:tcW w:w="70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stock, $0.001 par value, 400,000,000 shares authorized, 8,192,538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and 5,481,055 shares issued and outstanding at December 31, 2025 and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December 31, 2024, respectively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5,481</w:t>
            </w:r>
          </w:p>
        </w:tc>
        <w:tc>
          <w:tcPr>
            <w:tcW w:w="0" w:type="dxa"/>
            <w:vAlign w:val="bottom"/>
          </w:tcPr>
          <w:p>
            <w:pPr>
              <w:spacing w:after="0"/>
              <w:rPr>
                <w:sz w:val="1"/>
                <w:szCs w:val="1"/>
                <w:color w:val="auto"/>
              </w:rPr>
            </w:pPr>
          </w:p>
        </w:tc>
      </w:tr>
      <w:tr>
        <w:trPr>
          <w:trHeight w:val="230"/>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356,709,645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350,971,225</w:t>
            </w:r>
          </w:p>
        </w:tc>
        <w:tc>
          <w:tcPr>
            <w:tcW w:w="0" w:type="dxa"/>
            <w:vAlign w:val="bottom"/>
          </w:tcPr>
          <w:p>
            <w:pPr>
              <w:spacing w:after="0"/>
              <w:rPr>
                <w:sz w:val="1"/>
                <w:szCs w:val="1"/>
                <w:color w:val="auto"/>
              </w:rPr>
            </w:pPr>
          </w:p>
        </w:tc>
      </w:tr>
      <w:tr>
        <w:trPr>
          <w:trHeight w:val="229"/>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Accumulated other comprehensive loss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(10,634,714)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(10,627,379)</w:t>
            </w:r>
          </w:p>
        </w:tc>
        <w:tc>
          <w:tcPr>
            <w:tcW w:w="0" w:type="dxa"/>
            <w:vAlign w:val="bottom"/>
          </w:tcPr>
          <w:p>
            <w:pPr>
              <w:spacing w:after="0"/>
              <w:rPr>
                <w:sz w:val="1"/>
                <w:szCs w:val="1"/>
                <w:color w:val="auto"/>
              </w:rPr>
            </w:pPr>
          </w:p>
        </w:tc>
      </w:tr>
      <w:tr>
        <w:trPr>
          <w:trHeight w:val="267"/>
        </w:trPr>
        <w:tc>
          <w:tcPr>
            <w:tcW w:w="7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 . . . . .</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(333,641,441)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8"/>
              </w:rPr>
              <w:t>(321,041,872)</w:t>
            </w:r>
          </w:p>
        </w:tc>
        <w:tc>
          <w:tcPr>
            <w:tcW w:w="0" w:type="dxa"/>
            <w:vAlign w:val="bottom"/>
          </w:tcPr>
          <w:p>
            <w:pPr>
              <w:spacing w:after="0"/>
              <w:rPr>
                <w:sz w:val="1"/>
                <w:szCs w:val="1"/>
                <w:color w:val="auto"/>
              </w:rPr>
            </w:pPr>
          </w:p>
        </w:tc>
      </w:tr>
      <w:tr>
        <w:trPr>
          <w:trHeight w:val="214"/>
        </w:trPr>
        <w:tc>
          <w:tcPr>
            <w:tcW w:w="7020" w:type="dxa"/>
            <w:vAlign w:val="bottom"/>
            <w:vMerge w:val="restart"/>
          </w:tcPr>
          <w:p>
            <w:pPr>
              <w:jc w:val="right"/>
              <w:ind w:right="446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12,441,682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19,307,455</w:t>
            </w:r>
          </w:p>
        </w:tc>
        <w:tc>
          <w:tcPr>
            <w:tcW w:w="0" w:type="dxa"/>
            <w:vAlign w:val="bottom"/>
          </w:tcPr>
          <w:p>
            <w:pPr>
              <w:spacing w:after="0"/>
              <w:rPr>
                <w:sz w:val="1"/>
                <w:szCs w:val="1"/>
                <w:color w:val="auto"/>
              </w:rPr>
            </w:pPr>
          </w:p>
        </w:tc>
      </w:tr>
      <w:tr>
        <w:trPr>
          <w:trHeight w:val="230"/>
        </w:trPr>
        <w:tc>
          <w:tcPr>
            <w:tcW w:w="702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.Totalliabilitiesandstockholders'equity</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15,933,401</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23,979,493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800"/>
          </w:cols>
          <w:pgMar w:left="1040" w:top="1062" w:right="10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800"/>
          </w:cols>
          <w:pgMar w:left="1040" w:top="1062" w:right="1040" w:bottom="542"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Grant revenue</w:t>
            </w: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6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6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020" w:type="dxa"/>
            <w:vAlign w:val="bottom"/>
            <w:vMerge w:val="continue"/>
          </w:tcPr>
          <w:p>
            <w:pPr>
              <w:jc w:val="right"/>
              <w:ind w:right="1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285,759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1,502,581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7,043,035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9,363,537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6,476,560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6,458,699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02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.Totaloperatingexpenses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13,519,595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15,822,236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.Lossfromoperations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(13,233,836)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(14,319,655)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20" w:type="dxa"/>
            <w:vAlign w:val="bottom"/>
          </w:tcPr>
          <w:p>
            <w:pPr>
              <w:spacing w:after="0" w:line="202" w:lineRule="exact"/>
              <w:rPr>
                <w:sz w:val="20"/>
                <w:szCs w:val="20"/>
                <w:color w:val="auto"/>
              </w:rPr>
            </w:pPr>
            <w:r>
              <w:rPr>
                <w:rFonts w:ascii="Times New Roman" w:cs="Times New Roman" w:eastAsia="Times New Roman" w:hAnsi="Times New Roman"/>
                <w:sz w:val="20"/>
                <w:szCs w:val="20"/>
                <w:color w:val="auto"/>
              </w:rPr>
              <w:t>Other income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Interest income, net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652,086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Foreign currency (loss) gain . . . .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(95,319)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02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.Totalotherincome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634,267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1,360,944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.Netloss</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(12,599,569)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(12,958,711)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2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Other comprehensive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Foreign currency translation . . . .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(7,335)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(16,106)</w:t>
            </w:r>
          </w:p>
        </w:tc>
        <w:tc>
          <w:tcPr>
            <w:tcW w:w="0" w:type="dxa"/>
            <w:vAlign w:val="bottom"/>
          </w:tcPr>
          <w:p>
            <w:pPr>
              <w:spacing w:after="0"/>
              <w:rPr>
                <w:sz w:val="1"/>
                <w:szCs w:val="1"/>
                <w:color w:val="auto"/>
              </w:rPr>
            </w:pPr>
          </w:p>
        </w:tc>
      </w:tr>
      <w:tr>
        <w:trPr>
          <w:trHeight w:val="241"/>
        </w:trPr>
        <w:tc>
          <w:tcPr>
            <w:tcW w:w="702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.Totalcomprehensiveloss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(12,606,904)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(12,974,817)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jc w:val="right"/>
              <w:ind w:right="160"/>
              <w:spacing w:after="0" w:line="222" w:lineRule="exact"/>
              <w:rPr>
                <w:sz w:val="20"/>
                <w:szCs w:val="20"/>
                <w:color w:val="auto"/>
              </w:rPr>
            </w:pPr>
            <w:r>
              <w:rPr>
                <w:rFonts w:ascii="Times New Roman" w:cs="Times New Roman" w:eastAsia="Times New Roman" w:hAnsi="Times New Roman"/>
                <w:sz w:val="20"/>
                <w:szCs w:val="20"/>
                <w:color w:val="auto"/>
              </w:rPr>
              <w:t>. . . . . . . . .Netlosspershareattributabletocommonstockholders,basicanddiluted</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(1.93)</w:t>
            </w:r>
          </w:p>
        </w:tc>
        <w:tc>
          <w:tcPr>
            <w:tcW w:w="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.Weighted-averagecommonsharesoutstanding,basicanddiluted</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6,538,722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5,509,921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720"/>
          </w:cols>
          <w:pgMar w:left="1080" w:top="1062"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9720"/>
          </w:cols>
          <w:pgMar w:left="1080" w:top="1062" w:right="1080" w:bottom="542"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Convertible Preferred Stock and Stockholders’ Equity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Accumulated 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3"/>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Series A Convertible Preferred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00"/>
              <w:spacing w:after="0" w:line="138" w:lineRule="exact"/>
              <w:rPr>
                <w:sz w:val="20"/>
                <w:szCs w:val="20"/>
                <w:color w:val="auto"/>
              </w:rPr>
            </w:pPr>
            <w:r>
              <w:rPr>
                <w:rFonts w:ascii="Times New Roman" w:cs="Times New Roman" w:eastAsia="Times New Roman" w:hAnsi="Times New Roman"/>
                <w:sz w:val="12"/>
                <w:szCs w:val="12"/>
                <w:b w:val="1"/>
                <w:bCs w:val="1"/>
                <w:color w:val="auto"/>
              </w:rPr>
              <w:t>Paid</w:t>
            </w:r>
            <w:r>
              <w:rPr>
                <w:rFonts w:ascii="MS PMincho" w:cs="MS PMincho" w:eastAsia="MS PMincho" w:hAnsi="MS PMincho"/>
                <w:sz w:val="12"/>
                <w:szCs w:val="12"/>
                <w:b w:val="1"/>
                <w:bCs w:val="1"/>
                <w:color w:val="auto"/>
              </w:rPr>
              <w:t>‑</w:t>
            </w:r>
            <w:r>
              <w:rPr>
                <w:rFonts w:ascii="Times New Roman" w:cs="Times New Roman" w:eastAsia="Times New Roman" w:hAnsi="Times New Roman"/>
                <w:sz w:val="12"/>
                <w:szCs w:val="12"/>
                <w:b w:val="1"/>
                <w:bCs w:val="1"/>
                <w:color w:val="auto"/>
              </w:rPr>
              <w:t>in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stockholders’</w:t>
            </w:r>
          </w:p>
        </w:tc>
      </w:tr>
      <w:tr>
        <w:trPr>
          <w:trHeight w:val="155"/>
        </w:trPr>
        <w:tc>
          <w:tcPr>
            <w:tcW w:w="3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loss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 . . . . . . . . . . . . . . . . . . . . . . . . . .BalanceatDecember31,2023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56,227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1,311,063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3,736,673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3,736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335,644,204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(10,611,273)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(308,083,161)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16,953,506</w:t>
            </w:r>
          </w:p>
        </w:tc>
      </w:tr>
      <w:tr>
        <w:trPr>
          <w:trHeight w:val="144"/>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 . . . . . . . . . . . . . . . . . . . . . . . . .Vestingofrestrictedstockunits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Issuance of common stock and pre-funded warrants, net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1,687,712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14,685,802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14,687,490</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Issuance of common stock pursuant to at-the-market stock sales, net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41,152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134,364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134,405</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Issuance of common stock to consultant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17,435</w:t>
            </w:r>
          </w:p>
        </w:tc>
      </w:tr>
      <w:tr>
        <w:trPr>
          <w:trHeight w:val="162"/>
        </w:trPr>
        <w:tc>
          <w:tcPr>
            <w:tcW w:w="3840" w:type="dxa"/>
            <w:vAlign w:val="bottom"/>
            <w:gridSpan w:val="2"/>
          </w:tcPr>
          <w:p>
            <w:pPr>
              <w:jc w:val="right"/>
              <w:ind w:right="340"/>
              <w:spacing w:after="0" w:line="138" w:lineRule="exact"/>
              <w:rPr>
                <w:sz w:val="20"/>
                <w:szCs w:val="20"/>
                <w:color w:val="auto"/>
              </w:rPr>
            </w:pPr>
            <w:r>
              <w:rPr>
                <w:rFonts w:ascii="Times New Roman" w:cs="Times New Roman" w:eastAsia="Times New Roman" w:hAnsi="Times New Roman"/>
                <w:sz w:val="12"/>
                <w:szCs w:val="12"/>
                <w:color w:val="auto"/>
              </w:rPr>
              <w:t>Stock</w:t>
            </w:r>
            <w:r>
              <w:rPr>
                <w:rFonts w:ascii="MS PMincho" w:cs="MS PMincho" w:eastAsia="MS PMincho" w:hAnsi="MS PMincho"/>
                <w:sz w:val="12"/>
                <w:szCs w:val="12"/>
                <w:color w:val="auto"/>
              </w:rPr>
              <w:t>‑</w:t>
            </w:r>
            <w:r>
              <w:rPr>
                <w:rFonts w:ascii="Times New Roman" w:cs="Times New Roman" w:eastAsia="Times New Roman" w:hAnsi="Times New Roman"/>
                <w:sz w:val="12"/>
                <w:szCs w:val="12"/>
                <w:color w:val="auto"/>
              </w:rPr>
              <w:t>based compensation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489,436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489,436</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Foreign currency translation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(16,106)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(16,106)</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Net loss . . . . . . .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(12,958,711)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(12,958,711)</w:t>
            </w:r>
          </w:p>
        </w:tc>
      </w:tr>
      <w:tr>
        <w:trPr>
          <w:trHeight w:val="18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 . . . . . . . . . . . . . . . . . . . . . . . . . .BalanceatDecember31,2024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56,227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1,311,063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5,481,055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350,971,225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(10,627,379)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(321,041,872)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19,307,455</w:t>
            </w:r>
          </w:p>
        </w:tc>
      </w:tr>
      <w:tr>
        <w:trPr>
          <w:trHeight w:val="144"/>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 . . . . . . . . . . . . . . .Conversionofpreferredstocktocommonstock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(583,702)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583,690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583,702</w:t>
            </w:r>
          </w:p>
        </w:tc>
      </w:tr>
      <w:tr>
        <w:trPr>
          <w:trHeight w:val="159"/>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Vesting of restricted stock units . . . . . . . . . . . . . . . . . . . . . . . . . .</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17,154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Issuance of common stock and pre-funded warrants, net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26,459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2,724,896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2,724,922</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Issuance of common stock pursuant to at-the-market stock sales, net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1,337,948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1,913,887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1,915,225</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Issuance of common stock to consultants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27,500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39,050</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Exercise of pre-funded warrants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1,289,906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62"/>
        </w:trPr>
        <w:tc>
          <w:tcPr>
            <w:tcW w:w="3840" w:type="dxa"/>
            <w:vAlign w:val="bottom"/>
            <w:gridSpan w:val="2"/>
          </w:tcPr>
          <w:p>
            <w:pPr>
              <w:jc w:val="right"/>
              <w:ind w:right="340"/>
              <w:spacing w:after="0" w:line="138" w:lineRule="exact"/>
              <w:rPr>
                <w:sz w:val="20"/>
                <w:szCs w:val="20"/>
                <w:color w:val="auto"/>
              </w:rPr>
            </w:pPr>
            <w:r>
              <w:rPr>
                <w:rFonts w:ascii="Times New Roman" w:cs="Times New Roman" w:eastAsia="Times New Roman" w:hAnsi="Times New Roman"/>
                <w:sz w:val="12"/>
                <w:szCs w:val="12"/>
                <w:color w:val="auto"/>
              </w:rPr>
              <w:t>Stock</w:t>
            </w:r>
            <w:r>
              <w:rPr>
                <w:rFonts w:ascii="MS PMincho" w:cs="MS PMincho" w:eastAsia="MS PMincho" w:hAnsi="MS PMincho"/>
                <w:sz w:val="12"/>
                <w:szCs w:val="12"/>
                <w:color w:val="auto"/>
              </w:rPr>
              <w:t>‑</w:t>
            </w:r>
            <w:r>
              <w:rPr>
                <w:rFonts w:ascii="Times New Roman" w:cs="Times New Roman" w:eastAsia="Times New Roman" w:hAnsi="Times New Roman"/>
                <w:sz w:val="12"/>
                <w:szCs w:val="12"/>
                <w:color w:val="auto"/>
              </w:rPr>
              <w:t>based compensation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478,141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478,141</w:t>
            </w:r>
          </w:p>
        </w:tc>
      </w:tr>
      <w:tr>
        <w:trPr>
          <w:trHeight w:val="162"/>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Foreign currency translation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(7,335)</w:t>
            </w:r>
          </w:p>
        </w:tc>
      </w:tr>
      <w:tr>
        <w:trPr>
          <w:trHeight w:val="163"/>
        </w:trPr>
        <w:tc>
          <w:tcPr>
            <w:tcW w:w="3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Net loss . . . . . . .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(12,599,569)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(12,599,569)</w:t>
            </w:r>
          </w:p>
        </w:tc>
      </w:tr>
      <w:tr>
        <w:trPr>
          <w:trHeight w:val="172"/>
        </w:trPr>
        <w:tc>
          <w:tcPr>
            <w:tcW w:w="38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Balance at December 31, 2025 . . . . . . . . . . . . . . . . . . . . . . . . . . .</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31,194</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727,361</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8,192,538</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8,192</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356,709,645</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(10,634,714)</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(333,641,441)</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12,441,682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-2042795</wp:posOffset>
            </wp:positionV>
            <wp:extent cx="494030"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494030" cy="31750"/>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-1194435</wp:posOffset>
            </wp:positionV>
            <wp:extent cx="494030"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494030" cy="31750"/>
                    </a:xfrm>
                    <a:prstGeom prst="rect">
                      <a:avLst/>
                    </a:prstGeom>
                    <a:noFill/>
                  </pic:spPr>
                </pic:pic>
              </a:graphicData>
            </a:graphic>
          </wp:anchor>
        </w:drawing>
        <w:drawing>
          <wp:anchor simplePos="0" relativeHeight="251657728" behindDoc="1" locked="0" layoutInCell="0" allowOverlap="1">
            <wp:simplePos x="0" y="0"/>
            <wp:positionH relativeFrom="column">
              <wp:posOffset>4495800</wp:posOffset>
            </wp:positionH>
            <wp:positionV relativeFrom="paragraph">
              <wp:posOffset>-140335</wp:posOffset>
            </wp:positionV>
            <wp:extent cx="494030"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494030" cy="31750"/>
                    </a:xfrm>
                    <a:prstGeom prst="rect">
                      <a:avLst/>
                    </a:prstGeom>
                    <a:noFill/>
                  </pic:spPr>
                </pic:pic>
              </a:graphicData>
            </a:graphic>
          </wp:anchor>
        </w:drawing>
      </w:r>
    </w:p>
    <w:p>
      <w:pPr>
        <w:spacing w:after="0" w:line="15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5480" w:h="11880" w:orient="landscape"/>
          <w:cols w:equalWidth="0" w:num="2">
            <w:col w:w="230" w:space="458"/>
            <w:col w:w="13280"/>
          </w:cols>
          <w:pgMar w:left="1112" w:top="1440" w:right="40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(12,599,569)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(12,958,711)</w:t>
            </w:r>
          </w:p>
        </w:tc>
        <w:tc>
          <w:tcPr>
            <w:tcW w:w="0" w:type="dxa"/>
            <w:vAlign w:val="bottom"/>
          </w:tcPr>
          <w:p>
            <w:pPr>
              <w:spacing w:after="0"/>
              <w:rPr>
                <w:sz w:val="1"/>
                <w:szCs w:val="1"/>
                <w:color w:val="auto"/>
              </w:rPr>
            </w:pPr>
          </w:p>
        </w:tc>
      </w:tr>
      <w:tr>
        <w:trPr>
          <w:trHeight w:val="229"/>
        </w:trPr>
        <w:tc>
          <w:tcPr>
            <w:tcW w:w="67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22,318</w:t>
            </w: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line="230" w:lineRule="exact"/>
              <w:rPr>
                <w:sz w:val="20"/>
                <w:szCs w:val="20"/>
                <w:color w:val="auto"/>
              </w:rPr>
            </w:pPr>
            <w:r>
              <w:rPr>
                <w:rFonts w:ascii="Times New Roman" w:cs="Times New Roman" w:eastAsia="Times New Roman" w:hAnsi="Times New Roman"/>
                <w:sz w:val="20"/>
                <w:szCs w:val="20"/>
                <w:color w:val="auto"/>
              </w:rPr>
              <w:t>Stock</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based compensation . . . . . . . . . . .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478,141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489,436</w:t>
            </w:r>
          </w:p>
        </w:tc>
        <w:tc>
          <w:tcPr>
            <w:tcW w:w="0" w:type="dxa"/>
            <w:vAlign w:val="bottom"/>
          </w:tcPr>
          <w:p>
            <w:pPr>
              <w:spacing w:after="0"/>
              <w:rPr>
                <w:sz w:val="1"/>
                <w:szCs w:val="1"/>
                <w:color w:val="auto"/>
              </w:rPr>
            </w:pPr>
          </w:p>
        </w:tc>
      </w:tr>
      <w:tr>
        <w:trPr>
          <w:trHeight w:val="229"/>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Issuance of common stock to consultants . . . . . . . . . . . . . . . . . . . . . . . . . .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17,435</w:t>
            </w: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Foreign currency loss (gain) . . . . . . . . . .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(71,800)</w:t>
            </w:r>
          </w:p>
        </w:tc>
        <w:tc>
          <w:tcPr>
            <w:tcW w:w="0" w:type="dxa"/>
            <w:vAlign w:val="bottom"/>
          </w:tcPr>
          <w:p>
            <w:pPr>
              <w:spacing w:after="0"/>
              <w:rPr>
                <w:sz w:val="1"/>
                <w:szCs w:val="1"/>
                <w:color w:val="auto"/>
              </w:rPr>
            </w:pPr>
          </w:p>
        </w:tc>
      </w:tr>
      <w:tr>
        <w:trPr>
          <w:trHeight w:val="230"/>
        </w:trPr>
        <w:tc>
          <w:tcPr>
            <w:tcW w:w="6740" w:type="dxa"/>
            <w:vAlign w:val="bottom"/>
          </w:tcPr>
          <w:p>
            <w:pPr>
              <w:jc w:val="right"/>
              <w:ind w:right="288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Prepaid expenses and other current and noncurrent assets . . . . . . . . . . . .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(96,674)</w:t>
            </w: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(646,701)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(314,207)</w:t>
            </w: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(115,541)</w:t>
            </w:r>
          </w:p>
        </w:tc>
        <w:tc>
          <w:tcPr>
            <w:tcW w:w="0" w:type="dxa"/>
            <w:vAlign w:val="bottom"/>
          </w:tcPr>
          <w:p>
            <w:pPr>
              <w:spacing w:after="0"/>
              <w:rPr>
                <w:sz w:val="1"/>
                <w:szCs w:val="1"/>
                <w:color w:val="auto"/>
              </w:rPr>
            </w:pPr>
          </w:p>
        </w:tc>
      </w:tr>
      <w:tr>
        <w:trPr>
          <w:trHeight w:val="25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Deferred grant revenue . . . . . . . . . . . . . . . . . . . . . . . . . . . . . . . . . . . . . . . . . . .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(528,974)</w:t>
            </w:r>
          </w:p>
        </w:tc>
        <w:tc>
          <w:tcPr>
            <w:tcW w:w="0" w:type="dxa"/>
            <w:vAlign w:val="bottom"/>
          </w:tcPr>
          <w:p>
            <w:pPr>
              <w:spacing w:after="0"/>
              <w:rPr>
                <w:sz w:val="1"/>
                <w:szCs w:val="1"/>
                <w:color w:val="auto"/>
              </w:rPr>
            </w:pPr>
          </w:p>
        </w:tc>
      </w:tr>
      <w:tr>
        <w:trPr>
          <w:trHeight w:val="220"/>
        </w:trPr>
        <w:tc>
          <w:tcPr>
            <w:tcW w:w="674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.Netcashusedinoperatingactivities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(12,894,439)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(13,556,718)</w:t>
            </w:r>
          </w:p>
        </w:tc>
        <w:tc>
          <w:tcPr>
            <w:tcW w:w="0" w:type="dxa"/>
            <w:vAlign w:val="bottom"/>
          </w:tcPr>
          <w:p>
            <w:pPr>
              <w:spacing w:after="0"/>
              <w:rPr>
                <w:sz w:val="1"/>
                <w:szCs w:val="1"/>
                <w:color w:val="auto"/>
              </w:rPr>
            </w:pPr>
          </w:p>
        </w:tc>
      </w:tr>
      <w:tr>
        <w:trPr>
          <w:trHeight w:val="199"/>
        </w:trPr>
        <w:tc>
          <w:tcPr>
            <w:tcW w:w="674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Purchases of property and equipment . . . . . . . . . . . . . . . . . . . . . . . . . . . . . . . . . .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(15,478)</w:t>
            </w:r>
          </w:p>
        </w:tc>
        <w:tc>
          <w:tcPr>
            <w:tcW w:w="0" w:type="dxa"/>
            <w:vAlign w:val="bottom"/>
          </w:tcPr>
          <w:p>
            <w:pPr>
              <w:spacing w:after="0"/>
              <w:rPr>
                <w:sz w:val="1"/>
                <w:szCs w:val="1"/>
                <w:color w:val="auto"/>
              </w:rPr>
            </w:pPr>
          </w:p>
        </w:tc>
      </w:tr>
      <w:tr>
        <w:trPr>
          <w:trHeight w:val="220"/>
        </w:trPr>
        <w:tc>
          <w:tcPr>
            <w:tcW w:w="674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.Netcashusedininvestingactivities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(15,478)</w:t>
            </w:r>
          </w:p>
        </w:tc>
        <w:tc>
          <w:tcPr>
            <w:tcW w:w="0" w:type="dxa"/>
            <w:vAlign w:val="bottom"/>
          </w:tcPr>
          <w:p>
            <w:pPr>
              <w:spacing w:after="0"/>
              <w:rPr>
                <w:sz w:val="1"/>
                <w:szCs w:val="1"/>
                <w:color w:val="auto"/>
              </w:rPr>
            </w:pPr>
          </w:p>
        </w:tc>
      </w:tr>
      <w:tr>
        <w:trPr>
          <w:trHeight w:val="201"/>
        </w:trPr>
        <w:tc>
          <w:tcPr>
            <w:tcW w:w="674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the exercise of warrants . . . . . . . . . . . . . . . . . . . . . . . . . . . . .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issuance of common stock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5,047,606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16,140,356</w:t>
            </w:r>
          </w:p>
        </w:tc>
        <w:tc>
          <w:tcPr>
            <w:tcW w:w="0" w:type="dxa"/>
            <w:vAlign w:val="bottom"/>
          </w:tcPr>
          <w:p>
            <w:pPr>
              <w:spacing w:after="0"/>
              <w:rPr>
                <w:sz w:val="1"/>
                <w:szCs w:val="1"/>
                <w:color w:val="auto"/>
              </w:rPr>
            </w:pPr>
          </w:p>
        </w:tc>
      </w:tr>
      <w:tr>
        <w:trPr>
          <w:trHeight w:val="25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Common stock issuance costs . . . . . . . . . . . . . . . . . . . . . . . . . . . . . . . . . . . . . . . .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(407,459)</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(1,318,461)</w:t>
            </w:r>
          </w:p>
        </w:tc>
        <w:tc>
          <w:tcPr>
            <w:tcW w:w="0" w:type="dxa"/>
            <w:vAlign w:val="bottom"/>
          </w:tcPr>
          <w:p>
            <w:pPr>
              <w:spacing w:after="0"/>
              <w:rPr>
                <w:sz w:val="1"/>
                <w:szCs w:val="1"/>
                <w:color w:val="auto"/>
              </w:rPr>
            </w:pPr>
          </w:p>
        </w:tc>
      </w:tr>
      <w:tr>
        <w:trPr>
          <w:trHeight w:val="220"/>
        </w:trPr>
        <w:tc>
          <w:tcPr>
            <w:tcW w:w="674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 . . . . .Netcashprovidedbyfinancingactivities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4,640,238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14,821,895</w:t>
            </w:r>
          </w:p>
        </w:tc>
        <w:tc>
          <w:tcPr>
            <w:tcW w:w="0" w:type="dxa"/>
            <w:vAlign w:val="bottom"/>
          </w:tcPr>
          <w:p>
            <w:pPr>
              <w:spacing w:after="0"/>
              <w:rPr>
                <w:sz w:val="1"/>
                <w:szCs w:val="1"/>
                <w:color w:val="auto"/>
              </w:rPr>
            </w:pPr>
          </w:p>
        </w:tc>
      </w:tr>
      <w:tr>
        <w:trPr>
          <w:trHeight w:val="201"/>
        </w:trPr>
        <w:tc>
          <w:tcPr>
            <w:tcW w:w="6740" w:type="dxa"/>
            <w:vAlign w:val="bottom"/>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rPr>
              <w:t>. . . . . . . . . . . . . . . . . . . . . . . . .Changeincash,cashequivalentsandrestrictedcash</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(8,254,201)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1,249,699</w:t>
            </w:r>
          </w:p>
        </w:tc>
        <w:tc>
          <w:tcPr>
            <w:tcW w:w="0" w:type="dxa"/>
            <w:vAlign w:val="bottom"/>
          </w:tcPr>
          <w:p>
            <w:pPr>
              <w:spacing w:after="0"/>
              <w:rPr>
                <w:sz w:val="1"/>
                <w:szCs w:val="1"/>
                <w:color w:val="auto"/>
              </w:rPr>
            </w:pPr>
          </w:p>
        </w:tc>
      </w:tr>
      <w:tr>
        <w:trPr>
          <w:trHeight w:val="229"/>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Effect of exchange rate changes on cash, cash equivalents and restricted cash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(7,181)</w:t>
            </w:r>
          </w:p>
        </w:tc>
        <w:tc>
          <w:tcPr>
            <w:tcW w:w="0" w:type="dxa"/>
            <w:vAlign w:val="bottom"/>
          </w:tcPr>
          <w:p>
            <w:pPr>
              <w:spacing w:after="0"/>
              <w:rPr>
                <w:sz w:val="1"/>
                <w:szCs w:val="1"/>
                <w:color w:val="auto"/>
              </w:rPr>
            </w:pPr>
          </w:p>
        </w:tc>
      </w:tr>
      <w:tr>
        <w:trPr>
          <w:trHeight w:val="25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8"/>
              </w:rPr>
              <w:t>Cash, cash equivalents and restricted cash—beginning of year . . . . . . . . . . . . . . . .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22,890,055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21,647,537</w:t>
            </w:r>
          </w:p>
        </w:tc>
        <w:tc>
          <w:tcPr>
            <w:tcW w:w="0" w:type="dxa"/>
            <w:vAlign w:val="bottom"/>
          </w:tcPr>
          <w:p>
            <w:pPr>
              <w:spacing w:after="0"/>
              <w:rPr>
                <w:sz w:val="1"/>
                <w:szCs w:val="1"/>
                <w:color w:val="auto"/>
              </w:rPr>
            </w:pPr>
          </w:p>
        </w:tc>
      </w:tr>
      <w:tr>
        <w:trPr>
          <w:trHeight w:val="229"/>
        </w:trPr>
        <w:tc>
          <w:tcPr>
            <w:tcW w:w="674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.Cash,cashequivalentsandrestrictedcash—endofperiod</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14,640,533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22,890,055</w:t>
            </w:r>
          </w:p>
        </w:tc>
        <w:tc>
          <w:tcPr>
            <w:tcW w:w="0" w:type="dxa"/>
            <w:vAlign w:val="bottom"/>
          </w:tcPr>
          <w:p>
            <w:pPr>
              <w:spacing w:after="0"/>
              <w:rPr>
                <w:sz w:val="1"/>
                <w:szCs w:val="1"/>
                <w:color w:val="auto"/>
              </w:rPr>
            </w:pPr>
          </w:p>
        </w:tc>
      </w:tr>
      <w:tr>
        <w:trPr>
          <w:trHeight w:val="441"/>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Reconciliation of cash, cash equivalents and restricted cash</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7"/>
              </w:rPr>
              <w:t>Cash and cash equivalents . . . . . . . . . . . . . . . . . . . . . . . . . . . . . . . . . . .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14,599,347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22,849,885</w:t>
            </w:r>
          </w:p>
        </w:tc>
        <w:tc>
          <w:tcPr>
            <w:tcW w:w="0" w:type="dxa"/>
            <w:vAlign w:val="bottom"/>
          </w:tcPr>
          <w:p>
            <w:pPr>
              <w:spacing w:after="0"/>
              <w:rPr>
                <w:sz w:val="1"/>
                <w:szCs w:val="1"/>
                <w:color w:val="auto"/>
              </w:rPr>
            </w:pPr>
          </w:p>
        </w:tc>
      </w:tr>
      <w:tr>
        <w:trPr>
          <w:trHeight w:val="250"/>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5"/>
              </w:rPr>
              <w:t>Restricted cash . . . . . . . . . . . . . . . . . . . . . . . . . . . . . . . . . . . . . . . . . . . . . . . . . . . . . . .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41,186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40,170</w:t>
            </w:r>
          </w:p>
        </w:tc>
        <w:tc>
          <w:tcPr>
            <w:tcW w:w="0" w:type="dxa"/>
            <w:vAlign w:val="bottom"/>
          </w:tcPr>
          <w:p>
            <w:pPr>
              <w:spacing w:after="0"/>
              <w:rPr>
                <w:sz w:val="1"/>
                <w:szCs w:val="1"/>
                <w:color w:val="auto"/>
              </w:rPr>
            </w:pPr>
          </w:p>
        </w:tc>
      </w:tr>
      <w:tr>
        <w:trPr>
          <w:trHeight w:val="229"/>
        </w:trPr>
        <w:tc>
          <w:tcPr>
            <w:tcW w:w="674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 . . . . . . .Totalcash,cashequivalentsandrestrictedcash</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14,640,533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22,890,055</w:t>
            </w:r>
          </w:p>
        </w:tc>
        <w:tc>
          <w:tcPr>
            <w:tcW w:w="0" w:type="dxa"/>
            <w:vAlign w:val="bottom"/>
          </w:tcPr>
          <w:p>
            <w:pPr>
              <w:spacing w:after="0"/>
              <w:rPr>
                <w:sz w:val="1"/>
                <w:szCs w:val="1"/>
                <w:color w:val="auto"/>
              </w:rPr>
            </w:pPr>
          </w:p>
        </w:tc>
      </w:tr>
      <w:tr>
        <w:trPr>
          <w:trHeight w:val="441"/>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Non-cash investing and financing activities: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Conversion of Series A convertible preferred stock to common stock . . . . . . . . . .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583,702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720"/>
          </w:cols>
          <w:pgMar w:left="1080" w:top="1062"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9720"/>
          </w:cols>
          <w:pgMar w:left="1080" w:top="1062" w:right="1080" w:bottom="542" w:gutter="0" w:footer="0" w:header="0"/>
          <w:type w:val="continuous"/>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 and basis of presentation</w:t>
      </w:r>
    </w:p>
    <w:p>
      <w:pPr>
        <w:spacing w:after="0" w:line="23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Nature of business</w:t>
      </w:r>
      <w:r>
        <w:rPr>
          <w:rFonts w:ascii="Times New Roman" w:cs="Times New Roman" w:eastAsia="Times New Roman" w:hAnsi="Times New Roman"/>
          <w:sz w:val="20"/>
          <w:szCs w:val="20"/>
          <w:color w:val="auto"/>
        </w:rPr>
        <w:t>— Aprea Therapeutics, Inc. (the “Company”) is a clinical-stage biopharmaceutical company focused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precision oncology through synthetic lethality. The Company began principal operations in 2006 and is headquartered in Doylestown, Pennsylvania. The Company’s two clinical programs are a next-generation oral inhibitor of the WEE1 kinase, APR-1051, and our novel oral macrocyclic ATR inhibitor, ATRN-119. We have voluntarily paused further patient enrollment in both once daily and twice daily monotherapy dosing arms of ABOYA-119 and started the orderly wind-down of certain clinical trial site activities associated with the monotherapy arms as we explore ATTN-119 in potential combination approaches. Both programs are the cornerstones of our pipeline of synthetic lethality-based cancer therapeutics and were internally discovered, developed, and evaluated by our dedicated team of chemists, scientists, and clinicians.</w:t>
      </w:r>
    </w:p>
    <w:p>
      <w:pPr>
        <w:spacing w:after="0" w:line="1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b w:val="1"/>
          <w:bCs w:val="1"/>
          <w:color w:val="auto"/>
        </w:rPr>
        <w:t>Basis of presentation and management plans</w:t>
      </w:r>
      <w:r>
        <w:rPr>
          <w:rFonts w:ascii="Times New Roman" w:cs="Times New Roman" w:eastAsia="Times New Roman" w:hAnsi="Times New Roman"/>
          <w:sz w:val="20"/>
          <w:szCs w:val="20"/>
          <w:color w:val="auto"/>
        </w:rPr>
        <w:t>—The accompanying financial statements are prepared in conformity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accounting principles generally accepted in the United States (“U.S. GAAP”). The accompanying financial statements have been prepared on a going concern basis, which contemplates the realization of assets and the satisfaction of liabilities in the normal course of business.</w:t>
      </w:r>
    </w:p>
    <w:p>
      <w:pPr>
        <w:spacing w:after="0" w:line="190"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20"/>
          <w:szCs w:val="20"/>
          <w:color w:val="auto"/>
        </w:rPr>
        <w:t>Since its inception, the Company has devoted substantially all of its efforts to business planning, clinical operations, research and development, recruiting management and technical staff, raising capital and has financed its operations through the issuance of convertible preferred stock and common stock.</w:t>
      </w:r>
    </w:p>
    <w:p>
      <w:pPr>
        <w:spacing w:after="0" w:line="185"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The Company is subject to risks common to companies in the biopharmaceutical industry.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19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Company believes that the December 31, 2025 cash balance of approximately $14.6 million and the gross proceeds of approximately $5.6 million received from our private placement of our common stock and warrants in January 2026, before deducting placement agent fees and offering costs of approximately $0.4 million, will not be sufficient to meet our currently projected operating expenses and capital expenditure requirements through at least twelve months from the date of issuance of these consolidated financial statements. Therefore, the Company has concluded that substantial doubt exists about our ability to continue as a going concern for a period of at least 12 months from the date of the issuance of these audited consolidated financial statements. The Company is in the process of seeking additional equity financing. In the event that additional funds are not available, management would expect to significantly reduce expenditures to conserve cash, which would involve scaling back or curtailing new development activity.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3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b w:val="1"/>
          <w:bCs w:val="1"/>
          <w:color w:val="auto"/>
        </w:rPr>
        <w:t>Principles of consolidation</w:t>
      </w:r>
      <w:r>
        <w:rPr>
          <w:rFonts w:ascii="Times New Roman" w:cs="Times New Roman" w:eastAsia="Times New Roman" w:hAnsi="Times New Roman"/>
          <w:sz w:val="20"/>
          <w:szCs w:val="20"/>
          <w:color w:val="auto"/>
        </w:rPr>
        <w:t>—The consolidated financial statements include the accounts of the Company and its wholly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owned subsidiaries Aprea Therapeutics AB, which was incorporated in May 2009, Aprea US, Inc., which was incorporated in June 2016 and ATR Pharmaceuticals LLC which was incorporated in May 2022. Management has concluded it has a single reporting segment for purposes of reporting financial condition and results of operations. All intercompany transactions and balances have been eliminated.</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Use of estimates</w:t>
      </w:r>
      <w:r>
        <w:rPr>
          <w:rFonts w:ascii="Times New Roman" w:cs="Times New Roman" w:eastAsia="Times New Roman" w:hAnsi="Times New Roman"/>
          <w:sz w:val="20"/>
          <w:szCs w:val="20"/>
          <w:color w:val="auto"/>
        </w:rPr>
        <w:t>—The preparation of financial statements in conformity with U.S. GAAP requires management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estimates and assumptions that affect the reported amounts of assets, liabilities, revenue, and expenses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items subject to such estimates and assumptions include, but not limited to, stock-based compensation and accounting for research and development costs.</w:t>
      </w:r>
    </w:p>
    <w:p>
      <w:pPr>
        <w:sectPr>
          <w:pgSz w:w="11880" w:h="15480" w:orient="portrait"/>
          <w:cols w:equalWidth="0" w:num="1">
            <w:col w:w="9720"/>
          </w:cols>
          <w:pgMar w:left="1080" w:top="69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9720"/>
          </w:cols>
          <w:pgMar w:left="1080" w:top="697" w:right="1080" w:bottom="542"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9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b w:val="1"/>
          <w:bCs w:val="1"/>
          <w:color w:val="auto"/>
        </w:rPr>
        <w:t>Foreign currency and currency translation</w:t>
      </w:r>
      <w:r>
        <w:rPr>
          <w:rFonts w:ascii="Times New Roman" w:cs="Times New Roman" w:eastAsia="Times New Roman" w:hAnsi="Times New Roman"/>
          <w:sz w:val="20"/>
          <w:szCs w:val="20"/>
          <w:color w:val="auto"/>
        </w:rPr>
        <w:t>—The functional currency for Aprea Therapeutics AB is the Swedish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Krona. Assets and liabilities of Aprea Therapeutics AB are translated into United States dollars at the exchange rate in effect on the balance sheet date. Operating expenses are translated at the average exchange rate in effect during the period. Unrealized translation gains and losses are recorded as a cumulative translation adjustment, which is included in the consolidated statements of stockholders’ equity as a component of accumulated other comprehensive loss. Adjustments that arise from exchange rate changes on transactions denominated in a currency other than the local currency are included in other income (expense), net in the consolidated statements of operations and comprehensive loss as incurred.</w:t>
      </w:r>
    </w:p>
    <w:p>
      <w:pPr>
        <w:spacing w:after="0" w:line="19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color w:val="auto"/>
        </w:rPr>
        <w:t>Concentrations of credit risk</w:t>
      </w:r>
      <w:r>
        <w:rPr>
          <w:rFonts w:ascii="Times New Roman" w:cs="Times New Roman" w:eastAsia="Times New Roman" w:hAnsi="Times New Roman"/>
          <w:sz w:val="20"/>
          <w:szCs w:val="20"/>
          <w:color w:val="auto"/>
        </w:rPr>
        <w:t>—Financial instruments that potentially subject the Company to significant concentration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credit risk consist primarily of cash.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w:t>
      </w:r>
    </w:p>
    <w:p>
      <w:pPr>
        <w:spacing w:after="0" w:line="1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Cash and cash equivalents— </w:t>
      </w:r>
      <w:r>
        <w:rPr>
          <w:rFonts w:ascii="Times New Roman" w:cs="Times New Roman" w:eastAsia="Times New Roman" w:hAnsi="Times New Roman"/>
          <w:sz w:val="20"/>
          <w:szCs w:val="20"/>
          <w:color w:val="auto"/>
        </w:rPr>
        <w:t>The Company considers all highly liquid investments with original maturities of three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months or less at the date of purchase to be cash equivalents.</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Restricted cash— </w:t>
      </w:r>
      <w:r>
        <w:rPr>
          <w:rFonts w:ascii="Times New Roman" w:cs="Times New Roman" w:eastAsia="Times New Roman" w:hAnsi="Times New Roman"/>
          <w:sz w:val="20"/>
          <w:szCs w:val="20"/>
          <w:color w:val="auto"/>
        </w:rPr>
        <w:t>The Company has restricted cash of approximately $41,186 and $40,170 as of December 31,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2024, respectively, that is securing the Company’s credit card program.</w:t>
      </w:r>
    </w:p>
    <w:p>
      <w:pPr>
        <w:spacing w:after="0" w:line="15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b w:val="1"/>
          <w:bCs w:val="1"/>
          <w:color w:val="auto"/>
        </w:rPr>
        <w:t>Property and equipment</w:t>
      </w:r>
      <w:r>
        <w:rPr>
          <w:rFonts w:ascii="Times New Roman" w:cs="Times New Roman" w:eastAsia="Times New Roman" w:hAnsi="Times New Roman"/>
          <w:sz w:val="20"/>
          <w:szCs w:val="20"/>
          <w:color w:val="auto"/>
        </w:rPr>
        <w:t>—Property and equipment are recorded at cost. Expenditures for repairs and maintenance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expensed as incurred. When assets are retired or disposed of, the assets and related accumulated depreciation are eliminated from the accounts, and any resulting gain or loss is included in the determination of net income or loss. Fixed assets acquired for research and development purposes are assessed for alternative future use. Depreciation is provided using the straight-line method over the estimated useful lives of the related assets. Leasehold improvements are amortized over the shorter of the lease term or the estimated useful life of the asset.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240" w:type="dxa"/>
            <w:vAlign w:val="bottom"/>
          </w:tcPr>
          <w:p>
            <w:pPr>
              <w:spacing w:after="0"/>
              <w:rPr>
                <w:sz w:val="17"/>
                <w:szCs w:val="17"/>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199"/>
        </w:trPr>
        <w:tc>
          <w:tcPr>
            <w:tcW w:w="7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w w:val="99"/>
              </w:rPr>
              <w:t>Computer equipment and software . . . . . . . . . . . . . . . . . . . . . . . . . . . . . . . . . . . . . . . . . . . . . . . . .</w:t>
            </w:r>
          </w:p>
        </w:tc>
        <w:tc>
          <w:tcPr>
            <w:tcW w:w="240" w:type="dxa"/>
            <w:vAlign w:val="bottom"/>
          </w:tcPr>
          <w:p>
            <w:pPr>
              <w:spacing w:after="0"/>
              <w:rPr>
                <w:sz w:val="17"/>
                <w:szCs w:val="17"/>
                <w:color w:val="auto"/>
              </w:rPr>
            </w:pPr>
          </w:p>
        </w:tc>
        <w:tc>
          <w:tcPr>
            <w:tcW w:w="18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3 years</w:t>
            </w:r>
          </w:p>
        </w:tc>
      </w:tr>
      <w:tr>
        <w:trPr>
          <w:trHeight w:val="267"/>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w w:val="99"/>
              </w:rPr>
              <w:t>Laboratory equipment and office furniture . . . . . . . . . . . . . . . . . . . . . . . . . . . . . . . . . . . . . . . . . . .</w:t>
            </w: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7 years</w:t>
            </w:r>
          </w:p>
        </w:tc>
      </w:tr>
    </w:tbl>
    <w:p>
      <w:pPr>
        <w:spacing w:after="0" w:line="18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b w:val="1"/>
          <w:bCs w:val="1"/>
          <w:color w:val="auto"/>
        </w:rPr>
        <w:t>Impairment of long-lived assets</w:t>
      </w:r>
      <w:r>
        <w:rPr>
          <w:rFonts w:ascii="Times New Roman" w:cs="Times New Roman" w:eastAsia="Times New Roman" w:hAnsi="Times New Roman"/>
          <w:sz w:val="20"/>
          <w:szCs w:val="20"/>
          <w:color w:val="auto"/>
        </w:rPr>
        <w:t>—Periodically, the Company evaluates its long-lived assets, which consist primarily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19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b w:val="1"/>
          <w:bCs w:val="1"/>
          <w:color w:val="auto"/>
        </w:rPr>
        <w:t>Fair value of financial instruments</w:t>
      </w:r>
      <w:r>
        <w:rPr>
          <w:rFonts w:ascii="Times New Roman" w:cs="Times New Roman" w:eastAsia="Times New Roman" w:hAnsi="Times New Roman"/>
          <w:sz w:val="20"/>
          <w:szCs w:val="20"/>
          <w:color w:val="auto"/>
        </w:rPr>
        <w:t>—The accounting standard for fair value measurements provides a framework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measuring fair value and requires expanded disclosures regarding fair value measurements. Fair value is defined as the price that would be received upon sale of an asset or paid to transfer a liability between market participants at measurement dates. ASC Topic 820, Fair Value Measurement (“ASC 820”), establishes a three-level valuation hierarchy for instruments measured at fair value. The hierarchy is based on the transparency of inputs to the valuation of an asset or liability as of the measurement date. The hierarchy defines three levels of valuation inputs, of which the first two are considered observable and the last is considered unobservable:</w:t>
      </w:r>
    </w:p>
    <w:p>
      <w:pPr>
        <w:spacing w:after="0" w:line="212" w:lineRule="exact"/>
        <w:rPr>
          <w:sz w:val="20"/>
          <w:szCs w:val="20"/>
          <w:color w:val="auto"/>
        </w:rPr>
      </w:pPr>
    </w:p>
    <w:p>
      <w:pPr>
        <w:ind w:left="360" w:hanging="353"/>
        <w:spacing w:after="0"/>
        <w:tabs>
          <w:tab w:leader="none" w:pos="360" w:val="left"/>
        </w:tabs>
        <w:numPr>
          <w:ilvl w:val="0"/>
          <w:numId w:val="70"/>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1 inputs: Quoted prices in active markets for identical assets or liabilities.</w:t>
      </w:r>
    </w:p>
    <w:p>
      <w:pPr>
        <w:spacing w:after="0" w:line="239" w:lineRule="exact"/>
        <w:rPr>
          <w:rFonts w:ascii="Symbol" w:cs="Symbol" w:eastAsia="Symbol" w:hAnsi="Symbol"/>
          <w:sz w:val="20"/>
          <w:szCs w:val="20"/>
          <w:color w:val="auto"/>
        </w:rPr>
      </w:pPr>
    </w:p>
    <w:p>
      <w:pPr>
        <w:ind w:left="360" w:right="820" w:hanging="353"/>
        <w:spacing w:after="0" w:line="262" w:lineRule="auto"/>
        <w:tabs>
          <w:tab w:leader="none" w:pos="360" w:val="left"/>
        </w:tabs>
        <w:numPr>
          <w:ilvl w:val="0"/>
          <w:numId w:val="70"/>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2 inputs: Inputs other than quoted prices included within Level 1 that are either directly or indirectly observable, such as quoted market prices, interest rates and yield curves.</w:t>
      </w:r>
    </w:p>
    <w:p>
      <w:pPr>
        <w:sectPr>
          <w:pgSz w:w="11880" w:h="15480" w:orient="portrait"/>
          <w:cols w:equalWidth="0" w:num="1">
            <w:col w:w="9720"/>
          </w:cols>
          <w:pgMar w:left="1080" w:top="69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9720"/>
          </w:cols>
          <w:pgMar w:left="1080" w:top="697" w:right="1080" w:bottom="542" w:gutter="0" w:footer="0" w:header="0"/>
          <w:type w:val="continuous"/>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16" w:lineRule="exact"/>
        <w:rPr>
          <w:sz w:val="20"/>
          <w:szCs w:val="20"/>
          <w:color w:val="auto"/>
        </w:rPr>
      </w:pPr>
    </w:p>
    <w:p>
      <w:pPr>
        <w:ind w:left="360" w:right="180" w:hanging="353"/>
        <w:spacing w:after="0" w:line="262" w:lineRule="auto"/>
        <w:tabs>
          <w:tab w:leader="none" w:pos="360" w:val="left"/>
        </w:tabs>
        <w:numPr>
          <w:ilvl w:val="0"/>
          <w:numId w:val="71"/>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3 inputs: Unobservable inputs developed using estimates or assumptions developed by the Company, which reflect those that a market participant would use in pricing the asset or liability.</w:t>
      </w:r>
    </w:p>
    <w:p>
      <w:pPr>
        <w:spacing w:after="0" w:line="18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restricted cash, accounts payable and accrued expenses. The carrying amount of accounts payable and accrued expenses is considered a reasonable estimate of fair value due to the short-term maturity.</w:t>
      </w:r>
    </w:p>
    <w:p>
      <w:pPr>
        <w:spacing w:after="0" w:line="1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b w:val="1"/>
          <w:bCs w:val="1"/>
          <w:color w:val="auto"/>
        </w:rPr>
        <w:t>Series A Convertible Preferred Stock</w:t>
      </w:r>
      <w:r>
        <w:rPr>
          <w:rFonts w:ascii="Times New Roman" w:cs="Times New Roman" w:eastAsia="Times New Roman" w:hAnsi="Times New Roman"/>
          <w:sz w:val="20"/>
          <w:szCs w:val="20"/>
          <w:color w:val="auto"/>
        </w:rPr>
        <w:t>—The Company classifies the Series A Preferred Stock as temporary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of stockholders’ equity on the accompanying condensed consolidated balance sheets due to certain events that are not within the Company's control.</w:t>
      </w:r>
    </w:p>
    <w:p>
      <w:pPr>
        <w:spacing w:after="0" w:line="18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b w:val="1"/>
          <w:bCs w:val="1"/>
          <w:color w:val="auto"/>
        </w:rPr>
        <w:t>Accounting for leases</w:t>
      </w:r>
      <w:r>
        <w:rPr>
          <w:rFonts w:ascii="Times New Roman" w:cs="Times New Roman" w:eastAsia="Times New Roman" w:hAnsi="Times New Roman"/>
          <w:sz w:val="20"/>
          <w:szCs w:val="20"/>
          <w:color w:val="auto"/>
        </w:rPr>
        <w:t>—At the inception of an arrangement, the Company determines whether the arrangement is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contains a lease based on specific facts and circumstances, the existence of an identified asset(s), if any, and the Company’s control over the use of the identified asset(s), if applicable. Operating lease liabilities and their corresponding right-of-use assets are recorded based on the present value of future lease payments over the expected lease term. The interest rate implicit in lease contracts is typically not readily determinable. As such, the Company utilizes the incremental borrowing rate, which is the rate incurred to borrow on a collateralized basis over a similar term an amount equal to the lease payments in a similar economic environment.</w:t>
      </w:r>
    </w:p>
    <w:p>
      <w:pPr>
        <w:spacing w:after="0" w:line="19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auto"/>
        </w:rPr>
        <w:t>The Company has elected not to separate lease and non-lease components as a single component. Operating leases are recognized on the balance sheet as right of use (ROU) lease assets, lease liabilities current and lease liabilities non-current. Fixed rents are included in the calculation of the lease balances while variable costs paid for certain operating and pass-through costs are excluded. Lease expense is recognized over the expected term on a straight-line basis. The Company has also elected the short-term lease exemption for all leases with an original term of less than 12 months.</w:t>
      </w:r>
    </w:p>
    <w:p>
      <w:pPr>
        <w:spacing w:after="0" w:line="200" w:lineRule="exact"/>
        <w:rPr>
          <w:sz w:val="20"/>
          <w:szCs w:val="20"/>
          <w:color w:val="auto"/>
        </w:rPr>
      </w:pPr>
    </w:p>
    <w:p>
      <w:pPr>
        <w:spacing w:after="0" w:line="231"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b w:val="1"/>
          <w:bCs w:val="1"/>
          <w:color w:val="auto"/>
        </w:rPr>
        <w:t>Revenue recognition</w:t>
      </w:r>
      <w:r>
        <w:rPr>
          <w:rFonts w:ascii="Times New Roman" w:cs="Times New Roman" w:eastAsia="Times New Roman" w:hAnsi="Times New Roman"/>
          <w:sz w:val="20"/>
          <w:szCs w:val="20"/>
          <w:color w:val="auto"/>
        </w:rPr>
        <w:t xml:space="preserve">— The Company’s revenue is primarily generated through grants from government and non-government organizations. Grant revenue is recognized during the period that the reimbursable research and development services occur, as qualifying expenses are incurred or conditions of the grants are met. Grant revenue received in advance is recorded as deferred grant revenue and recognized as revenue once the conditions for revenue recognition are met. Associated expenses are recognized when incurred as research and development expense. The Company concluded that payments received under these grants represent conditional, nonreciprocal contributions, as described in ASC </w:t>
      </w:r>
      <w:r>
        <w:rPr>
          <w:rFonts w:ascii="Times New Roman" w:cs="Times New Roman" w:eastAsia="Times New Roman" w:hAnsi="Times New Roman"/>
          <w:sz w:val="20"/>
          <w:szCs w:val="20"/>
          <w:i w:val="1"/>
          <w:iCs w:val="1"/>
          <w:color w:val="auto"/>
        </w:rPr>
        <w:t>958, Not-</w:t>
      </w:r>
      <w:r>
        <w:rPr>
          <w:rFonts w:ascii="Times New Roman" w:cs="Times New Roman" w:eastAsia="Times New Roman" w:hAnsi="Times New Roman"/>
          <w:sz w:val="20"/>
          <w:szCs w:val="20"/>
          <w:color w:val="auto"/>
        </w:rPr>
        <w:t xml:space="preserve">for-Profit Entities, and that the grants are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within the scope of ASC </w:t>
      </w:r>
      <w:r>
        <w:rPr>
          <w:rFonts w:ascii="Times New Roman" w:cs="Times New Roman" w:eastAsia="Times New Roman" w:hAnsi="Times New Roman"/>
          <w:sz w:val="20"/>
          <w:szCs w:val="20"/>
          <w:i w:val="1"/>
          <w:iCs w:val="1"/>
          <w:color w:val="auto"/>
        </w:rPr>
        <w:t>606,</w:t>
      </w:r>
      <w:r>
        <w:rPr>
          <w:rFonts w:ascii="Times New Roman" w:cs="Times New Roman" w:eastAsia="Times New Roman" w:hAnsi="Times New Roman"/>
          <w:sz w:val="20"/>
          <w:szCs w:val="20"/>
          <w:color w:val="auto"/>
        </w:rPr>
        <w:t xml:space="preserve"> Revenue from Contracts with Customers, as the organizations providing the grants do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meet the definition of a customer.</w:t>
      </w:r>
    </w:p>
    <w:p>
      <w:pPr>
        <w:spacing w:after="0" w:line="19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b w:val="1"/>
          <w:bCs w:val="1"/>
          <w:color w:val="auto"/>
        </w:rPr>
        <w:t>Research and development costs</w:t>
      </w:r>
      <w:r>
        <w:rPr>
          <w:rFonts w:ascii="Times New Roman" w:cs="Times New Roman" w:eastAsia="Times New Roman" w:hAnsi="Times New Roman"/>
          <w:sz w:val="20"/>
          <w:szCs w:val="20"/>
          <w:color w:val="auto"/>
        </w:rPr>
        <w:t>—Research and development costs are charged to expense as incurred. Research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expenses incurred in performing research and development activities, include salaries and benefits, materials and supplies, preclinical expenses, stock-based compensation expense, depreciation of equipment, contract services, and other outside expenses. Costs for certain development activities are recognized based on an evaluation of the progress to completion of specific tasks using or information provided to the Company by its vendors on their actual costs incurred. Payments for these activities are based on the terms of the individual arrangements, which may differ from the pattern of costs incurred, and are reflected in the financial statements as prepaid or accrued research and development. Deposits made by the Company with certain service providers that are to be applied to future payments due under the service agreements or returned to the Company if not utilized are recorded in the consolidated balance sheets.</w:t>
      </w:r>
    </w:p>
    <w:p>
      <w:pPr>
        <w:sectPr>
          <w:pgSz w:w="11880" w:h="15480" w:orient="portrait"/>
          <w:cols w:equalWidth="0" w:num="1">
            <w:col w:w="9680"/>
          </w:cols>
          <w:pgMar w:left="1080" w:top="697" w:right="112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9680"/>
          </w:cols>
          <w:pgMar w:left="1080" w:top="697" w:right="1120" w:bottom="554"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color w:val="auto"/>
        </w:rPr>
        <w:t>Stock-based compensation</w:t>
      </w:r>
      <w:r>
        <w:rPr>
          <w:rFonts w:ascii="Times New Roman" w:cs="Times New Roman" w:eastAsia="Times New Roman" w:hAnsi="Times New Roman"/>
          <w:sz w:val="20"/>
          <w:szCs w:val="20"/>
          <w:color w:val="auto"/>
        </w:rPr>
        <w:t>—The Company measures stock options and other stock-based awards granted to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directors based on their fair value on the date of the grant and recognize compensation expense of those awards over the requisite service period, which is generally the vesting period of the respective award. The Company applies the straight-line method of expense recognition to all awards with only service based vesting conditions.</w:t>
      </w:r>
    </w:p>
    <w:p>
      <w:pPr>
        <w:spacing w:after="0" w:line="19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color w:val="auto"/>
        </w:rPr>
        <w:t>For stock-based awards granted to non-employees, compensation expense is recognized over the period during which services are rendered by such non-employees until completed in accordance with ASC 718.</w:t>
      </w:r>
    </w:p>
    <w:p>
      <w:pPr>
        <w:spacing w:after="0" w:line="16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Company estimates the fair value of each stock option grant on the date of grant using the Black Scholes option pricing model, which uses as inputs the fair value of the Company’s common stock and assumptions the Company makes for the volatility of its common stock, the expected term of its stock options, the risk-free interest rate for a period that approximates the expected term of its stock options and its expected dividend yield. The Company elects to account for forfeitures when they occur.</w:t>
      </w:r>
    </w:p>
    <w:p>
      <w:pPr>
        <w:spacing w:after="0" w:line="19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Company also awards restricted stock units (“RSUs”) to employees and directors. RSUs are generally subject to forfeiture if employment terminates prior to the completion of the vesting restrictions. The Company expenses the cost of the RSUs, which is determined to be the fair market value of the shares of common stock underlying the RSUs at the date of grant, ratably over the period during which the vesting restrictions lapse.</w:t>
      </w:r>
    </w:p>
    <w:p>
      <w:pPr>
        <w:spacing w:after="0" w:line="18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b w:val="1"/>
          <w:bCs w:val="1"/>
          <w:color w:val="auto"/>
        </w:rPr>
        <w:t>Income taxes</w:t>
      </w:r>
      <w:r>
        <w:rPr>
          <w:rFonts w:ascii="Times New Roman" w:cs="Times New Roman" w:eastAsia="Times New Roman" w:hAnsi="Times New Roman"/>
          <w:sz w:val="20"/>
          <w:szCs w:val="20"/>
          <w:color w:val="auto"/>
        </w:rPr>
        <w:t>—The Company accounts for income tax in accordance with ASC 740-10, Income Taxes (“ASC 740-10”),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requires the recognition of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0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b w:val="1"/>
          <w:bCs w:val="1"/>
          <w:color w:val="auto"/>
        </w:rPr>
        <w:t>Net loss per share</w:t>
      </w:r>
      <w:r>
        <w:rPr>
          <w:rFonts w:ascii="Times New Roman" w:cs="Times New Roman" w:eastAsia="Times New Roman" w:hAnsi="Times New Roman"/>
          <w:sz w:val="20"/>
          <w:szCs w:val="20"/>
          <w:color w:val="auto"/>
        </w:rPr>
        <w:t>—The Company has reported losses since inception and has computed basic net loss per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attributable to common stockholders by dividing net loss attributable to common stockholders by the weighted-average number of common shares outstanding for the period, without consideration for potentially dilutive securities. The Company computes diluted net loss per common share after giving consideration to all potentially dilutive common shares, including options to purchase common stock, outstanding during the period determined using the treasury -stock and if-converted methods,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Included within weighted average common shares outstanding for the year ended December 31, 2025</w:t>
      </w:r>
    </w:p>
    <w:p>
      <w:pPr>
        <w:spacing w:after="0" w:line="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are 1,813,734 common shares issuable upon the exercise of certain warrants, which are exercisable at any time for nominal consideration, and as such, the shares are considered outstanding for the purpose of calculating basic and diluted net loss per share attributable to common stockholders.</w:t>
      </w:r>
    </w:p>
    <w:p>
      <w:pPr>
        <w:sectPr>
          <w:pgSz w:w="11880" w:h="15480" w:orient="portrait"/>
          <w:cols w:equalWidth="0" w:num="1">
            <w:col w:w="9720"/>
          </w:cols>
          <w:pgMar w:left="1080" w:top="69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9720"/>
          </w:cols>
          <w:pgMar w:left="1080" w:top="697" w:right="1080" w:bottom="554"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2"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auto"/>
        </w:rPr>
        <w:t>The following table sets forth the potentially dilutive securities that have been excluded from the calculation of diluted net loss per share because to include them would be anti-dilutive (in common stock equivalent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Convertible preferred stock (as converted)</w:t>
            </w:r>
          </w:p>
        </w:tc>
        <w:tc>
          <w:tcPr>
            <w:tcW w:w="1000" w:type="dxa"/>
            <w:vAlign w:val="bottom"/>
          </w:tcPr>
          <w:p>
            <w:pPr>
              <w:jc w:val="right"/>
              <w:ind w:right="246"/>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gridSpan w:val="3"/>
          </w:tcPr>
          <w:p>
            <w:pPr>
              <w:jc w:val="right"/>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748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w:t>
            </w:r>
          </w:p>
        </w:tc>
        <w:tc>
          <w:tcPr>
            <w:tcW w:w="10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15,596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28,112</w:t>
            </w:r>
          </w:p>
        </w:tc>
        <w:tc>
          <w:tcPr>
            <w:tcW w:w="0" w:type="dxa"/>
            <w:vAlign w:val="bottom"/>
          </w:tcPr>
          <w:p>
            <w:pPr>
              <w:spacing w:after="0"/>
              <w:rPr>
                <w:sz w:val="1"/>
                <w:szCs w:val="1"/>
                <w:color w:val="auto"/>
              </w:rPr>
            </w:pPr>
          </w:p>
        </w:tc>
      </w:tr>
      <w:tr>
        <w:trPr>
          <w:trHeight w:val="230"/>
        </w:trPr>
        <w:tc>
          <w:tcPr>
            <w:tcW w:w="74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Options to purchase common stock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811,121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715,620</w:t>
            </w:r>
          </w:p>
        </w:tc>
        <w:tc>
          <w:tcPr>
            <w:tcW w:w="0" w:type="dxa"/>
            <w:vAlign w:val="bottom"/>
          </w:tcPr>
          <w:p>
            <w:pPr>
              <w:spacing w:after="0"/>
              <w:rPr>
                <w:sz w:val="1"/>
                <w:szCs w:val="1"/>
                <w:color w:val="auto"/>
              </w:rPr>
            </w:pPr>
          </w:p>
        </w:tc>
      </w:tr>
      <w:tr>
        <w:trPr>
          <w:trHeight w:val="229"/>
        </w:trPr>
        <w:tc>
          <w:tcPr>
            <w:tcW w:w="74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Warrants to purchase common stock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5,075,321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2,194,788</w:t>
            </w:r>
          </w:p>
        </w:tc>
        <w:tc>
          <w:tcPr>
            <w:tcW w:w="0" w:type="dxa"/>
            <w:vAlign w:val="bottom"/>
          </w:tcPr>
          <w:p>
            <w:pPr>
              <w:spacing w:after="0"/>
              <w:rPr>
                <w:sz w:val="1"/>
                <w:szCs w:val="1"/>
                <w:color w:val="auto"/>
              </w:rPr>
            </w:pPr>
          </w:p>
        </w:tc>
      </w:tr>
      <w:tr>
        <w:trPr>
          <w:trHeight w:val="250"/>
        </w:trPr>
        <w:tc>
          <w:tcPr>
            <w:tcW w:w="74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Unvested restricted stock units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29,712</w:t>
            </w:r>
          </w:p>
        </w:tc>
        <w:tc>
          <w:tcPr>
            <w:tcW w:w="0" w:type="dxa"/>
            <w:vAlign w:val="bottom"/>
          </w:tcPr>
          <w:p>
            <w:pPr>
              <w:spacing w:after="0"/>
              <w:rPr>
                <w:sz w:val="1"/>
                <w:szCs w:val="1"/>
                <w:color w:val="auto"/>
              </w:rPr>
            </w:pPr>
          </w:p>
        </w:tc>
      </w:tr>
      <w:tr>
        <w:trPr>
          <w:trHeight w:val="230"/>
        </w:trPr>
        <w:tc>
          <w:tcPr>
            <w:tcW w:w="746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7"/>
              </w:rPr>
              <w:t>Total shares of common stock equivalents . . . . . . . . . . . . . . . . . . . . . . . . . . . . . . . . . . . . . . .</w:t>
            </w: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5,933,046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2,968,232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b w:val="1"/>
          <w:bCs w:val="1"/>
          <w:color w:val="auto"/>
        </w:rPr>
        <w:t>Segment Information</w:t>
      </w:r>
      <w:r>
        <w:rPr>
          <w:rFonts w:ascii="Times New Roman" w:cs="Times New Roman" w:eastAsia="Times New Roman" w:hAnsi="Times New Roman"/>
          <w:sz w:val="20"/>
          <w:szCs w:val="20"/>
          <w:color w:val="auto"/>
        </w:rPr>
        <w:t>—The Company’s chief operating decision maker (“CODM”), the Chief Executive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manages the Company’s business activities as a single operating and reportable segment at the consolidated level considering the nature of the Company’s product candidates and services, class of customers and the regulatory environment in which the Company operates. Accordingly, the Company’s CODM manages and allocates resources to the operations of the Company on a total company basis by assessing the overall level of resources available and how to best deploy these resources across functions and research and development projects that are in line with the Company’s long-term strategic goals. In making these decisions, the CODM uses consolidated financial information for purposes of evaluating performance, forecasting future period financial results, and allocating resources. The CODM performs this assessment based on the Company’s consolidated net loss. Through this analysis, the CODM assesses performance by comparing actual net loss versus the budget and then decides how to allocate resources to invest in the Company’s research and development programs. The measure of segment assets is reported on the consolidated balance sheets as total assets. Other segment items included in consolidated net loss are interest income and foreign currency gain (loss), which are reflected in the consolidated statements of operations and comprehensive loss.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b w:val="1"/>
          <w:bCs w:val="1"/>
          <w:color w:val="auto"/>
        </w:rPr>
        <w:t>Recently issued accounting pronouncements</w:t>
      </w:r>
      <w:r>
        <w:rPr>
          <w:rFonts w:ascii="Times New Roman" w:cs="Times New Roman" w:eastAsia="Times New Roman" w:hAnsi="Times New Roman"/>
          <w:sz w:val="20"/>
          <w:szCs w:val="20"/>
          <w:color w:val="auto"/>
        </w:rPr>
        <w:t>—From time to time, new accounting pronouncements are issued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Accounting Standards Board (“FASB”) or other standard setting bodies that the Company adopts as of the specified effective date.</w:t>
      </w:r>
    </w:p>
    <w:p>
      <w:pPr>
        <w:spacing w:after="0" w:line="17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In January 2025, the FASB issued ASU 2025-10, “Government Grants (Topic 832),” which establishes a new Topic 832, </w:t>
      </w:r>
      <w:r>
        <w:rPr>
          <w:rFonts w:ascii="Times New Roman" w:cs="Times New Roman" w:eastAsia="Times New Roman" w:hAnsi="Times New Roman"/>
          <w:sz w:val="20"/>
          <w:szCs w:val="20"/>
          <w:i w:val="1"/>
          <w:iCs w:val="1"/>
          <w:color w:val="auto"/>
        </w:rPr>
        <w:t>Government Grants</w:t>
      </w:r>
      <w:r>
        <w:rPr>
          <w:rFonts w:ascii="Times New Roman" w:cs="Times New Roman" w:eastAsia="Times New Roman" w:hAnsi="Times New Roman"/>
          <w:sz w:val="20"/>
          <w:szCs w:val="20"/>
          <w:color w:val="auto"/>
        </w:rPr>
        <w:t>, and provides comprehensive recognition, measurement, and disclosure guidance for government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assistance arrangements. The ASU requires entities to recognize government grants when the grant agreement is legally enforceable and all eligibility requirements have been met, and to present grant income separately from revenue. The guidance also introduces expanded qualitative and quantitative disclosures related to the nature, terms, and financial statement effects of government grants. ASU 2025-10 is effective for fiscal years beginning after December 15, 2028, with early adoption permitted. The Company is currently evaluating the impact the adoption of this standard.</w:t>
      </w:r>
    </w:p>
    <w:p>
      <w:pPr>
        <w:spacing w:after="0" w:line="19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In February 2025, the FASB issued ASU 2025-11, “Interim Reporting (Topic 270): Narrow-Scope Improvements,” which amends Topic 270 to enhance interim reporting requirements. The amendments require additional disaggregation of certain expense categories, expanded interim disclosures for significant events or transactions, and alignment of certain interim disclosure requirements with annual reporting requirements. ASU 2025-11 is effective for interim periods beginning after December 15, 2027, and for fiscal years beginning after the same date. Early adoption is permitted. The Company is currently evaluating the impact of the adoption of this standard.</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b w:val="1"/>
          <w:bCs w:val="1"/>
          <w:color w:val="auto"/>
        </w:rPr>
        <w:t>Recently adopted accounting pronouncements</w:t>
      </w:r>
      <w:r>
        <w:rPr>
          <w:rFonts w:ascii="Times New Roman" w:cs="Times New Roman" w:eastAsia="Times New Roman" w:hAnsi="Times New Roman"/>
          <w:sz w:val="20"/>
          <w:szCs w:val="20"/>
          <w:color w:val="auto"/>
        </w:rPr>
        <w:t>—In December 2023, the FASB issued ASU 2023-09, “Income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(ASC 740): Improvements to Income Tax Disclosures”, which requires disaggregated information about a reporting</w:t>
      </w:r>
    </w:p>
    <w:p>
      <w:pPr>
        <w:sectPr>
          <w:pgSz w:w="11880" w:h="15480" w:orient="portrait"/>
          <w:cols w:equalWidth="0" w:num="1">
            <w:col w:w="9720"/>
          </w:cols>
          <w:pgMar w:left="1080" w:top="697" w:right="1080" w:bottom="554"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9720"/>
          </w:cols>
          <w:pgMar w:left="1080" w:top="697" w:right="1080" w:bottom="554"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entity’s effective tax rate reconciliation as well as information on income taxes paid. ASU 2023-09 is effective for fiscal years beginning after December 15, 2024. The Company adopted this standard prospectively on January 1, 2025, which expanded the Company’s disclosures beginning with its annual consolidated financial statements for the year ended December 31, 2025, but did not have an impact on the consolidated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Property and equipment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80" w:type="dxa"/>
            <w:vAlign w:val="bottom"/>
            <w:vMerge w:val="restart"/>
          </w:tcPr>
          <w:p>
            <w:pPr>
              <w:jc w:val="right"/>
              <w:ind w:right="5660"/>
              <w:spacing w:after="0"/>
              <w:rPr>
                <w:sz w:val="20"/>
                <w:szCs w:val="20"/>
                <w:color w:val="auto"/>
              </w:rPr>
            </w:pPr>
            <w:r>
              <w:rPr>
                <w:rFonts w:ascii="Times New Roman" w:cs="Times New Roman" w:eastAsia="Times New Roman" w:hAnsi="Times New Roman"/>
                <w:sz w:val="20"/>
                <w:szCs w:val="20"/>
                <w:color w:val="auto"/>
                <w:w w:val="99"/>
              </w:rPr>
              <w:t>Lab equipment</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6"/>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2"/>
        </w:trPr>
        <w:tc>
          <w:tcPr>
            <w:tcW w:w="69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w:t>
            </w:r>
          </w:p>
        </w:tc>
        <w:tc>
          <w:tcPr>
            <w:tcW w:w="20" w:type="dxa"/>
            <w:vAlign w:val="bottom"/>
          </w:tcPr>
          <w:p>
            <w:pPr>
              <w:spacing w:after="0"/>
              <w:rPr>
                <w:sz w:val="17"/>
                <w:szCs w:val="17"/>
                <w:color w:val="auto"/>
              </w:rPr>
            </w:pPr>
          </w:p>
        </w:tc>
        <w:tc>
          <w:tcPr>
            <w:tcW w:w="280" w:type="dxa"/>
            <w:vAlign w:val="bottom"/>
          </w:tcPr>
          <w:p>
            <w:pPr>
              <w:jc w:val="right"/>
              <w:ind w:right="8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148,704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148,704</w:t>
            </w:r>
          </w:p>
        </w:tc>
        <w:tc>
          <w:tcPr>
            <w:tcW w:w="0" w:type="dxa"/>
            <w:vAlign w:val="bottom"/>
          </w:tcPr>
          <w:p>
            <w:pPr>
              <w:spacing w:after="0"/>
              <w:rPr>
                <w:sz w:val="1"/>
                <w:szCs w:val="1"/>
                <w:color w:val="auto"/>
              </w:rPr>
            </w:pPr>
          </w:p>
        </w:tc>
      </w:tr>
      <w:tr>
        <w:trPr>
          <w:trHeight w:val="25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Computer equipment . . . . . . . . . . . . . . . . . . . . . . . . . . . . . . . . . . . . . . . . . . . . . . . . . . . .</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5,258</w:t>
            </w:r>
          </w:p>
        </w:tc>
        <w:tc>
          <w:tcPr>
            <w:tcW w:w="0" w:type="dxa"/>
            <w:vAlign w:val="bottom"/>
          </w:tcPr>
          <w:p>
            <w:pPr>
              <w:spacing w:after="0"/>
              <w:rPr>
                <w:sz w:val="1"/>
                <w:szCs w:val="1"/>
                <w:color w:val="auto"/>
              </w:rPr>
            </w:pPr>
          </w:p>
        </w:tc>
      </w:tr>
      <w:tr>
        <w:trPr>
          <w:trHeight w:val="202"/>
        </w:trPr>
        <w:tc>
          <w:tcPr>
            <w:tcW w:w="6980" w:type="dxa"/>
            <w:vAlign w:val="bottom"/>
          </w:tcPr>
          <w:p>
            <w:pPr>
              <w:jc w:val="right"/>
              <w:ind w:right="220"/>
              <w:spacing w:after="0" w:line="202" w:lineRule="exact"/>
              <w:rPr>
                <w:sz w:val="20"/>
                <w:szCs w:val="20"/>
                <w:color w:val="auto"/>
              </w:rPr>
            </w:pPr>
            <w:r>
              <w:rPr>
                <w:rFonts w:ascii="Times New Roman" w:cs="Times New Roman" w:eastAsia="Times New Roman" w:hAnsi="Times New Roman"/>
                <w:sz w:val="20"/>
                <w:szCs w:val="20"/>
                <w:color w:val="auto"/>
              </w:rPr>
              <w:t>. . . . . . . . . . . . . . . . . . . . . . . . . . . . . . . . . . . . . . . .Propertyandequipment,atcost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153,962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153,962</w:t>
            </w:r>
          </w:p>
        </w:tc>
        <w:tc>
          <w:tcPr>
            <w:tcW w:w="0" w:type="dxa"/>
            <w:vAlign w:val="bottom"/>
          </w:tcPr>
          <w:p>
            <w:pPr>
              <w:spacing w:after="0"/>
              <w:rPr>
                <w:sz w:val="1"/>
                <w:szCs w:val="1"/>
                <w:color w:val="auto"/>
              </w:rPr>
            </w:pPr>
          </w:p>
        </w:tc>
      </w:tr>
      <w:tr>
        <w:trPr>
          <w:trHeight w:val="251"/>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Less accumulated depreciation and amortization . . . . . . . . . . . . . . . . . . . . . . . . . . . .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(94,155)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(72,440)</w:t>
            </w:r>
          </w:p>
        </w:tc>
        <w:tc>
          <w:tcPr>
            <w:tcW w:w="0" w:type="dxa"/>
            <w:vAlign w:val="bottom"/>
          </w:tcPr>
          <w:p>
            <w:pPr>
              <w:spacing w:after="0"/>
              <w:rPr>
                <w:sz w:val="1"/>
                <w:szCs w:val="1"/>
                <w:color w:val="auto"/>
              </w:rPr>
            </w:pPr>
          </w:p>
        </w:tc>
      </w:tr>
      <w:tr>
        <w:trPr>
          <w:trHeight w:val="231"/>
        </w:trPr>
        <w:tc>
          <w:tcPr>
            <w:tcW w:w="698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.Propertyandequipment—net</w:t>
            </w: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59,807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81,522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for the years ended December 31, 2025 and 2024 was $21,715 and $22,318,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Leases</w:t>
      </w:r>
    </w:p>
    <w:p>
      <w:pPr>
        <w:spacing w:after="0" w:line="24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The Company is party to one operating lease for office and laboratory space. The Company’s finance leases are immaterial both individually and in the aggregate. The Company has elected to apply the short-term lease exception to all leases of one year or less. Rent expense for years ended December 31, 2025 and 2024 was $93,366 and $91,179, respectively, which is included in operating expenses.</w:t>
      </w:r>
    </w:p>
    <w:p>
      <w:pPr>
        <w:spacing w:after="0" w:line="19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The Company has an annual operating lease for office and laboratory space in Doylestown, Pennsylvania which was amended in October 2025 and is currently set to expire on October 31, 2026. Rent expense under this lease is $115,000 annually and the Company has applied the short-term exception to this lease. The Company has no lease obligations beyond October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Accrued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69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248,591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143,765</w:t>
            </w:r>
          </w:p>
        </w:tc>
        <w:tc>
          <w:tcPr>
            <w:tcW w:w="0" w:type="dxa"/>
            <w:vAlign w:val="bottom"/>
          </w:tcPr>
          <w:p>
            <w:pPr>
              <w:spacing w:after="0"/>
              <w:rPr>
                <w:sz w:val="1"/>
                <w:szCs w:val="1"/>
                <w:color w:val="auto"/>
              </w:rPr>
            </w:pPr>
          </w:p>
        </w:tc>
      </w:tr>
      <w:tr>
        <w:trPr>
          <w:trHeight w:val="232"/>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severance and benefits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770,562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465,015</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870,165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1,243,975</w:t>
            </w:r>
          </w:p>
        </w:tc>
        <w:tc>
          <w:tcPr>
            <w:tcW w:w="0" w:type="dxa"/>
            <w:vAlign w:val="bottom"/>
          </w:tcPr>
          <w:p>
            <w:pPr>
              <w:spacing w:after="0"/>
              <w:rPr>
                <w:sz w:val="1"/>
                <w:szCs w:val="1"/>
                <w:color w:val="auto"/>
              </w:rPr>
            </w:pPr>
          </w:p>
        </w:tc>
      </w:tr>
      <w:tr>
        <w:trPr>
          <w:trHeight w:val="251"/>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161,372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155,980</w:t>
            </w:r>
          </w:p>
        </w:tc>
        <w:tc>
          <w:tcPr>
            <w:tcW w:w="0" w:type="dxa"/>
            <w:vAlign w:val="bottom"/>
          </w:tcPr>
          <w:p>
            <w:pPr>
              <w:spacing w:after="0"/>
              <w:rPr>
                <w:sz w:val="1"/>
                <w:szCs w:val="1"/>
                <w:color w:val="auto"/>
              </w:rPr>
            </w:pPr>
          </w:p>
        </w:tc>
      </w:tr>
      <w:tr>
        <w:trPr>
          <w:trHeight w:val="231"/>
        </w:trPr>
        <w:tc>
          <w:tcPr>
            <w:tcW w:w="6980" w:type="dxa"/>
            <w:vAlign w:val="bottom"/>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 . . . . . . . . . . . . . . . . . . . . . . . . . . . . . . . . . . . . . . . . . . . . . .Totalaccruedexpenses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2,050,690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2,008,735</w:t>
            </w:r>
          </w:p>
        </w:tc>
        <w:tc>
          <w:tcPr>
            <w:tcW w:w="0" w:type="dxa"/>
            <w:vAlign w:val="bottom"/>
          </w:tcPr>
          <w:p>
            <w:pPr>
              <w:spacing w:after="0"/>
              <w:rPr>
                <w:sz w:val="1"/>
                <w:szCs w:val="1"/>
                <w:color w:val="auto"/>
              </w:rPr>
            </w:pPr>
          </w:p>
        </w:tc>
      </w:tr>
      <w:tr>
        <w:trPr>
          <w:trHeight w:val="504"/>
        </w:trPr>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Income taxes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The components of net loss are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7"/>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5"/>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69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w:t>
            </w: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(256,019)</w:t>
            </w:r>
          </w:p>
        </w:tc>
        <w:tc>
          <w:tcPr>
            <w:tcW w:w="20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(218,261)</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Domestic . . . . . . .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(12,343,550)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(12,740,450)</w:t>
            </w:r>
          </w:p>
        </w:tc>
        <w:tc>
          <w:tcPr>
            <w:tcW w:w="0" w:type="dxa"/>
            <w:vAlign w:val="bottom"/>
          </w:tcPr>
          <w:p>
            <w:pPr>
              <w:spacing w:after="0"/>
              <w:rPr>
                <w:sz w:val="1"/>
                <w:szCs w:val="1"/>
                <w:color w:val="auto"/>
              </w:rPr>
            </w:pPr>
          </w:p>
        </w:tc>
      </w:tr>
      <w:tr>
        <w:trPr>
          <w:trHeight w:val="230"/>
        </w:trPr>
        <w:tc>
          <w:tcPr>
            <w:tcW w:w="698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.Netloss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(12,599,569)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(12,958,711)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697" w:right="1080" w:bottom="554"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9720"/>
          </w:cols>
          <w:pgMar w:left="1080" w:top="697" w:right="1080" w:bottom="554"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effective tax rate varies from the federal statutory tax rate as a result of the following differences: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2025</w:t>
            </w:r>
          </w:p>
        </w:tc>
        <w:tc>
          <w:tcPr>
            <w:tcW w:w="0" w:type="dxa"/>
            <w:vAlign w:val="bottom"/>
          </w:tcPr>
          <w:p>
            <w:pPr>
              <w:spacing w:after="0"/>
              <w:rPr>
                <w:sz w:val="1"/>
                <w:szCs w:val="1"/>
                <w:color w:val="auto"/>
              </w:rPr>
            </w:pPr>
          </w:p>
        </w:tc>
      </w:tr>
      <w:tr>
        <w:trPr>
          <w:trHeight w:val="176"/>
        </w:trPr>
        <w:tc>
          <w:tcPr>
            <w:tcW w:w="7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Tax at U.S. statutory rate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182"/>
              <w:spacing w:after="0" w:line="176"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01"/>
        </w:trPr>
        <w:tc>
          <w:tcPr>
            <w:tcW w:w="732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w:t>
            </w: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(2,646,101)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auto"/>
            </w:tcBorders>
          </w:tcPr>
          <w:p>
            <w:pPr>
              <w:jc w:val="right"/>
              <w:ind w:right="2"/>
              <w:spacing w:after="0" w:line="201" w:lineRule="exact"/>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3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73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Others . .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Research and development credits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(42,220)</w:t>
            </w:r>
          </w:p>
        </w:tc>
        <w:tc>
          <w:tcPr>
            <w:tcW w:w="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0.3 %</w:t>
            </w:r>
          </w:p>
        </w:tc>
        <w:tc>
          <w:tcPr>
            <w:tcW w:w="0" w:type="dxa"/>
            <w:vAlign w:val="bottom"/>
          </w:tcPr>
          <w:p>
            <w:pPr>
              <w:spacing w:after="0"/>
              <w:rPr>
                <w:sz w:val="1"/>
                <w:szCs w:val="1"/>
                <w:color w:val="auto"/>
              </w:rPr>
            </w:pPr>
          </w:p>
        </w:tc>
      </w:tr>
      <w:tr>
        <w:trPr>
          <w:trHeight w:val="232"/>
        </w:trPr>
        <w:tc>
          <w:tcPr>
            <w:tcW w:w="73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Changes in valuation allowance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2,592,855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30"/>
        </w:trPr>
        <w:tc>
          <w:tcPr>
            <w:tcW w:w="73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Nontaxable and nondeductible items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3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Other adjustments . . . . . . . . . . . . . . . . . . . . . . . . . . . . .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73,496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31"/>
        </w:trPr>
        <w:tc>
          <w:tcPr>
            <w:tcW w:w="732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.Effectivetaxrate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color w:val="auto"/>
        </w:rPr>
        <w:t>As the Company did not recognize any state tax expense for the year ended December 31, 2025 there are no states making up greater than 50% of the tax effect.</w:t>
      </w:r>
    </w:p>
    <w:p>
      <w:pPr>
        <w:spacing w:after="0" w:line="16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auto"/>
        </w:rPr>
        <w:t>A reconciliation of the effect of applying the federal statutory rate to the net loss and the effective income tax rate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Statutory federal income tax rate</w:t>
            </w:r>
          </w:p>
        </w:tc>
        <w:tc>
          <w:tcPr>
            <w:tcW w:w="2120" w:type="dxa"/>
            <w:vAlign w:val="bottom"/>
            <w:tcBorders>
              <w:bottom w:val="single" w:sz="8" w:color="auto"/>
            </w:tcBorders>
          </w:tcPr>
          <w:p>
            <w:pPr>
              <w:jc w:val="right"/>
              <w:ind w:right="94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1"/>
        </w:trPr>
        <w:tc>
          <w:tcPr>
            <w:tcW w:w="760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w:t>
            </w:r>
          </w:p>
        </w:tc>
        <w:tc>
          <w:tcPr>
            <w:tcW w:w="2120" w:type="dxa"/>
            <w:vAlign w:val="bottom"/>
          </w:tcPr>
          <w:p>
            <w:pPr>
              <w:jc w:val="right"/>
              <w:ind w:right="5"/>
              <w:spacing w:after="0" w:line="201" w:lineRule="exact"/>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29"/>
        </w:trPr>
        <w:tc>
          <w:tcPr>
            <w:tcW w:w="7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Permanent differences . . . . . . . . . . . . . . . . . . . . . . . . . . . . . . . . . . . . . . . . . . . . . . . . . . . . . . . . .</w:t>
            </w: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30"/>
        </w:trPr>
        <w:tc>
          <w:tcPr>
            <w:tcW w:w="7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Section 162(m) limitation . . . . . . . . . . . . . . . . . . . . . . . . . . . . . . . . . . . . . . . . . . . . . . . . . . . . . .</w:t>
            </w: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7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Changes in valuation allowance . . . . . . . . . . . . . . . . . . . . . . . . . . . . . . . . . . . . . . . . . . . . . . . . .</w:t>
            </w: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(19.7)%</w:t>
            </w:r>
          </w:p>
        </w:tc>
        <w:tc>
          <w:tcPr>
            <w:tcW w:w="0" w:type="dxa"/>
            <w:vAlign w:val="bottom"/>
          </w:tcPr>
          <w:p>
            <w:pPr>
              <w:spacing w:after="0"/>
              <w:rPr>
                <w:sz w:val="1"/>
                <w:szCs w:val="1"/>
                <w:color w:val="auto"/>
              </w:rPr>
            </w:pPr>
          </w:p>
        </w:tc>
      </w:tr>
      <w:tr>
        <w:trPr>
          <w:trHeight w:val="250"/>
        </w:trPr>
        <w:tc>
          <w:tcPr>
            <w:tcW w:w="7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 . . . . . . . . . . . . . . . . . . . . . . . . . . . .</w:t>
            </w:r>
          </w:p>
        </w:tc>
        <w:tc>
          <w:tcPr>
            <w:tcW w:w="2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30"/>
        </w:trPr>
        <w:tc>
          <w:tcPr>
            <w:tcW w:w="758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97"/>
              </w:rPr>
              <w:t>Effective income tax rate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
              <w:spacing w:after="0" w:line="221" w:lineRule="exact"/>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the Company’s deferred taxes as of December 31, 2025 and 2024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3"/>
        </w:trPr>
        <w:tc>
          <w:tcPr>
            <w:tcW w:w="7120" w:type="dxa"/>
            <w:vAlign w:val="bottom"/>
            <w:vMerge w:val="restart"/>
          </w:tcPr>
          <w:p>
            <w:pPr>
              <w:jc w:val="right"/>
              <w:ind w:right="5440"/>
              <w:spacing w:after="0"/>
              <w:rPr>
                <w:sz w:val="20"/>
                <w:szCs w:val="20"/>
                <w:color w:val="auto"/>
              </w:rPr>
            </w:pPr>
            <w:r>
              <w:rPr>
                <w:rFonts w:ascii="Times New Roman" w:cs="Times New Roman" w:eastAsia="Times New Roman" w:hAnsi="Times New Roman"/>
                <w:sz w:val="20"/>
                <w:szCs w:val="20"/>
                <w:color w:val="auto"/>
                <w:w w:val="98"/>
              </w:rPr>
              <w:t>Deferred tax assets:</w:t>
            </w: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23"/>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4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Net operating loss carryforward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48,568,167</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41,058,034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4,130,337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Amortization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Capitalized research and development costs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3,386,699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4,850,529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Fixed Assets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Research and development credits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199,095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165,558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120" w:type="dxa"/>
            <w:vAlign w:val="bottom"/>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.Grossdeferredtaxassets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56,349,279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50,165,532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Valuation allowance . . . . . . . . . .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(56,349,279)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(50,165,532)</w:t>
            </w:r>
          </w:p>
        </w:tc>
        <w:tc>
          <w:tcPr>
            <w:tcW w:w="0" w:type="dxa"/>
            <w:vAlign w:val="bottom"/>
          </w:tcPr>
          <w:p>
            <w:pPr>
              <w:spacing w:after="0"/>
              <w:rPr>
                <w:sz w:val="1"/>
                <w:szCs w:val="1"/>
                <w:color w:val="auto"/>
              </w:rPr>
            </w:pPr>
          </w:p>
        </w:tc>
      </w:tr>
      <w:tr>
        <w:trPr>
          <w:trHeight w:val="230"/>
        </w:trPr>
        <w:tc>
          <w:tcPr>
            <w:tcW w:w="7120" w:type="dxa"/>
            <w:vAlign w:val="bottom"/>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.Totaldeferredtaxassets</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no income tax expense due to operating losses incurred for the years ended December 31, 2025 and 2024. The Company has provided a valuation allowance for the full amount of the net deferred tax assets as, based on all available evidence, it is considered more likely than not that all the recorded deferred tax assets will not be realized in a future period. At December 31, 2025, the Company has $143.3 million, $85.4 million, and $91.8 million of foreign, federal and state net operating loss carryforwards, respectively, that expire at various dates through 2037. Certain of</w:t>
      </w:r>
    </w:p>
    <w:p>
      <w:pPr>
        <w:sectPr>
          <w:pgSz w:w="11880" w:h="15480" w:orient="portrait"/>
          <w:cols w:equalWidth="0" w:num="1">
            <w:col w:w="9720"/>
          </w:cols>
          <w:pgMar w:left="1080" w:top="69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9720"/>
          </w:cols>
          <w:pgMar w:left="1080" w:top="697" w:right="1080" w:bottom="554" w:gutter="0" w:footer="0" w:header="0"/>
          <w:type w:val="continuous"/>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these foreign, federal and state net operating loss carryforwards may be subject to Internal Revenue Code Section 382 or similar provisions, which impose limitations on their utilization.</w:t>
      </w:r>
    </w:p>
    <w:p>
      <w:pPr>
        <w:spacing w:after="0" w:line="16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The Company amended its Federal income tax return for year ended December 31, 2023, to claim Research and Development credits of $42,220 and reducing NOL carryforward. Certain of these foreign, federal and state net operating loss carryforwards may be subject to Internal Revenue Code Section 382 or similar provisions, which impose limitations on their utilization.</w:t>
      </w:r>
    </w:p>
    <w:p>
      <w:pPr>
        <w:spacing w:after="0" w:line="19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valuation allowance increased in 2025 and 2024 by $6.2 million and $0.7 million, respectively, due to an increase in the deferred tax assets by the same amounts, primarily due to the increase in net operating loss generation. Realization of the future tax benefits is dependent on many factors, including the Company’s ability to generate taxable income within the net operating loss carryforward period. Under the provisions of the U.S. Internal Revenue Code and Sweden tax law, certain changes in the Company’s ownership, including a sale of the Company or significant changes in ownership due to sales of equity, may have limited, or may limit in the future, the amount of net operating loss carryforwards that could be used annually to offset future taxable income. For U.S. and Swedish income tax purposes, the Company has not completed a study to assess whether a change of control has occurred or whether there have been changes of control since the Company’s formation due to the complexity and cost associated with such study and because there could be additional changes in control in the future. As a result, the Company is not able to estimate the effect of the change in control, if any, on the Company’s ability to utilize U.S. or Swedish net operating losses or other tax attribute carryforwards in the future. For Swedish income tax purposes, the Company’s net operating losses may be subject to limitations in accordance with the country’s group contribution restriction laws.</w:t>
      </w:r>
    </w:p>
    <w:p>
      <w:pPr>
        <w:spacing w:after="0" w:line="20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The Company files tax returns in Sweden, the United States, Massachusetts and Pennsylvania. Income tax returns prior to 2022 in the United States and Massachusetts are no longer subject to examination and income tax returns prior</w:t>
      </w:r>
    </w:p>
    <w:p>
      <w:pPr>
        <w:spacing w:after="0" w:line="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to 2019 are no longer subject to examination in Sweden. The Company is not currently under examination by the IRS or any other jurisdictions for any tax years.</w:t>
      </w:r>
    </w:p>
    <w:p>
      <w:pPr>
        <w:spacing w:after="0" w:line="194"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0"/>
          <w:szCs w:val="20"/>
          <w:color w:val="auto"/>
        </w:rPr>
        <w:t>As tax law is complex and often subject to varied interpretations, it is uncertain whether some of the Company’s tax positions will be sustained upon examination. Tax liabilities associated with uncertain tax positions represent unrecognized tax benefits, which arise when the estimated benefit recorded in the Company’s financial statements differs from the amounts taken or expected to be taken in a tax return because of the uncertainties described above. Substantially all of these unrecognized tax benefits, if recognized, would benefit the Company’s effective income tax rate.</w:t>
      </w:r>
    </w:p>
    <w:p>
      <w:pPr>
        <w:spacing w:after="0" w:line="20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As of December 31, 2025 and 2024, the Company had approximately $0.1 million of liabilities, respectively, related to uncertain tax positions. As the Company’s uncertain tax positions can be offset by available net operating losses, the Company did not recognize interest and penalties for 2025 and 2024.</w:t>
      </w:r>
    </w:p>
    <w:p>
      <w:pPr>
        <w:spacing w:after="0" w:line="185"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color w:val="auto"/>
        </w:rPr>
        <w:t>The Company has not made payments or received refunds for income taxes for the years ended December 31, 2025 and 2024.</w:t>
      </w:r>
    </w:p>
    <w:p>
      <w:pPr>
        <w:spacing w:after="0" w:line="16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into law. The legislation made several changes to the U.S. tax code, including the return of 100% bonus depreciation, the ability to immediately deduct domestic research and development costs, a more favorable rule for deducting interest expenses, and updates to international tax rules around global intangible low-taxed income and foreign-derived intangible income. The Company has evaluated the impact of the new tax provision and determined it to have an immaterial impact on the consolidated financial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Stockholders’ equity</w:t>
      </w:r>
    </w:p>
    <w:p>
      <w:pPr>
        <w:spacing w:after="0" w:line="24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The total number of shares of all classes of capital stock that the Company is authorized to issue is 440,000,000 shares, consisting of 400,000,000 shares of common stock, par value $0.001 per share and 40,000,000 shares of preferred stock, par value $0.001 per share.</w:t>
      </w:r>
    </w:p>
    <w:p>
      <w:pPr>
        <w:sectPr>
          <w:pgSz w:w="11880" w:h="15480" w:orient="portrait"/>
          <w:cols w:equalWidth="0" w:num="1">
            <w:col w:w="9700"/>
          </w:cols>
          <w:pgMar w:left="1080" w:top="69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9700"/>
          </w:cols>
          <w:pgMar w:left="1080" w:top="697" w:right="1100" w:bottom="554" w:gutter="0" w:footer="0" w:header="0"/>
          <w:type w:val="continuous"/>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Series A Preferred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As of December 31, 2025, a total of 31,194 shares of Series A Preferred Stock remained outstanding, which are convertible into 15,596 shares of common stock. In April 2025, a total of 25,033 shares of Series A Preferred stock were converted into 12,516 shares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w:t>
      </w:r>
    </w:p>
    <w:p>
      <w:pPr>
        <w:spacing w:after="0" w:line="2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holders of common stock are entitled to one vote for each share of common stock. In the event of any voluntary or involuntary liquidation, dissolution or winding up of the Company, after the payment or provision for payment of all debts and liabilities of the Company, the holders of common stock shall be entitled to share in the remaining assets of the Company available for distribution, if 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Shelf Registration Statement</w:t>
      </w:r>
    </w:p>
    <w:p>
      <w:pPr>
        <w:spacing w:after="0" w:line="19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On January 26, 2024, the Company filed a shelf registration statement (the “2024 Shelf Registration Statement”) with the SEC for issuance of common stock, preferred stock, warrants, rights, debt securities and units up to an aggregate of $150.0 million, including a prospectus for the sale of $1.0 million of shares of common stock under the ATM Agreement, as discussed below, which was declared effective on February 2, 2024. The Company subsequently filed a prospectus supplement to the 2024 Shelf Registration Statement for the sale of up to $2.0 million of shares of common stock pursuant to the ATM Agreement. On January 26, 2024, the Company entered into an At the Market Offering Agreement (the “ATM Agreement”) with H.C. Wainright &amp; Co., LLC (“HCW”) . Pursuant to the ATM Agreement and the prospectus supplement filed in connection therewith, the Company was able, from time to time, in its sole discretion, to issue and sell through HCW, acting as sales agent and/or principal, up to $2.0 million of shares of common stock. The Company did not make any sales under the ATM Agreement and in March 2024, the Company terminated the ATM Agreement with HCW.</w:t>
      </w:r>
    </w:p>
    <w:p>
      <w:pPr>
        <w:spacing w:after="0" w:line="1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On November 8, 2024, the Company filed a prospectus supplement to the 2024 Shelf Registration Statement with the SEC for the sale of up to $3.0 million pursuant to the 2024 ATM Agreement, as discussed below. On November 8, 2024, the Company entered into an At the Market Offering Agreement (the “2024 ATM Agreement”) with HCW. Pursuant to the 2024 ATM Agreement and the prospectus supplement filed in connection therewith, the Company may, from time to time, in its sole discretion, issue and sell through HCW, acting as sales agent and/or principal, up to $3.0 million of shares of common stock. During the year ended December 31, 2024, the Company issued and sold 41,152 shares of common stock under the 2024 ATM Agreement resulting in net proceeds to the Company of approximately $0.1 million after deducting approximately $6,000 in issuance costs. During the year ended December 31, 2025, the Company issued and sold 1,337,948 shares of common stock under the 2024 ATM Agreement resulting in net proceeds to the Company of approximately $1.9 million after deducting approximately $76,000 in issuance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March 2024 Private Placement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11, 2024, the Company entered into a securities purchase agreement with certain purchasers (the “March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Purchasers”) pursuant to which the Company agreed to issue and sell to the March Purchasers in a private placement</w:t>
      </w:r>
    </w:p>
    <w:p>
      <w:pPr>
        <w:spacing w:after="0"/>
        <w:rPr>
          <w:sz w:val="20"/>
          <w:szCs w:val="20"/>
          <w:color w:val="auto"/>
        </w:rPr>
      </w:pPr>
      <w:r>
        <w:rPr>
          <w:rFonts w:ascii="Times New Roman" w:cs="Times New Roman" w:eastAsia="Times New Roman" w:hAnsi="Times New Roman"/>
          <w:sz w:val="20"/>
          <w:szCs w:val="20"/>
          <w:color w:val="auto"/>
        </w:rPr>
        <w:t>offering exempt from registration under the Securities Act of 1933, as amended, or the Securities Act, and the March</w:t>
      </w:r>
    </w:p>
    <w:p>
      <w:pPr>
        <w:spacing w:after="0"/>
        <w:rPr>
          <w:sz w:val="20"/>
          <w:szCs w:val="20"/>
          <w:color w:val="auto"/>
        </w:rPr>
      </w:pPr>
      <w:r>
        <w:rPr>
          <w:rFonts w:ascii="Times New Roman" w:cs="Times New Roman" w:eastAsia="Times New Roman" w:hAnsi="Times New Roman"/>
          <w:sz w:val="20"/>
          <w:szCs w:val="20"/>
          <w:color w:val="auto"/>
        </w:rPr>
        <w:t>Purchasers agreed to purchase from the Company (i) 1,687,712 shares of the Company’s common stock at a purchase</w:t>
      </w:r>
    </w:p>
    <w:p>
      <w:pPr>
        <w:spacing w:after="0"/>
        <w:rPr>
          <w:sz w:val="20"/>
          <w:szCs w:val="20"/>
          <w:color w:val="auto"/>
        </w:rPr>
      </w:pPr>
      <w:r>
        <w:rPr>
          <w:rFonts w:ascii="Times New Roman" w:cs="Times New Roman" w:eastAsia="Times New Roman" w:hAnsi="Times New Roman"/>
          <w:sz w:val="20"/>
          <w:szCs w:val="20"/>
          <w:color w:val="auto"/>
        </w:rPr>
        <w:t>price of $7.29 per share (the “March 2024 Shares”), (ii) pre-funded common stock purchase warrants at a purchase price</w:t>
      </w:r>
    </w:p>
    <w:p>
      <w:pPr>
        <w:spacing w:after="0"/>
        <w:rPr>
          <w:sz w:val="20"/>
          <w:szCs w:val="20"/>
          <w:color w:val="auto"/>
        </w:rPr>
      </w:pPr>
      <w:r>
        <w:rPr>
          <w:rFonts w:ascii="Times New Roman" w:cs="Times New Roman" w:eastAsia="Times New Roman" w:hAnsi="Times New Roman"/>
          <w:sz w:val="20"/>
          <w:szCs w:val="20"/>
          <w:color w:val="auto"/>
        </w:rPr>
        <w:t>of $7.289 to purchase an aggregate of up to 507,076 shares of the Company’s common stock at an exercise price of</w:t>
      </w:r>
    </w:p>
    <w:p>
      <w:pPr>
        <w:spacing w:after="0"/>
        <w:rPr>
          <w:sz w:val="20"/>
          <w:szCs w:val="20"/>
          <w:color w:val="auto"/>
        </w:rPr>
      </w:pPr>
      <w:r>
        <w:rPr>
          <w:rFonts w:ascii="Times New Roman" w:cs="Times New Roman" w:eastAsia="Times New Roman" w:hAnsi="Times New Roman"/>
          <w:sz w:val="20"/>
          <w:szCs w:val="20"/>
          <w:color w:val="auto"/>
        </w:rPr>
        <w:t>$0.001 per share (the “March 2024 Pre-Funded Shares”), (iii) tranche A common stock purchase warrants to purchase up</w:t>
      </w:r>
    </w:p>
    <w:p>
      <w:pPr>
        <w:spacing w:after="0"/>
        <w:rPr>
          <w:sz w:val="20"/>
          <w:szCs w:val="20"/>
          <w:color w:val="auto"/>
        </w:rPr>
      </w:pPr>
      <w:r>
        <w:rPr>
          <w:rFonts w:ascii="Times New Roman" w:cs="Times New Roman" w:eastAsia="Times New Roman" w:hAnsi="Times New Roman"/>
          <w:sz w:val="20"/>
          <w:szCs w:val="20"/>
          <w:color w:val="auto"/>
        </w:rPr>
        <w:t>to 1,097,394 shares of the Company’s common stock at an exercise price of $7.29 per share (the “Tranche A Warrants”),</w:t>
      </w:r>
    </w:p>
    <w:p>
      <w:pPr>
        <w:spacing w:after="0"/>
        <w:rPr>
          <w:sz w:val="20"/>
          <w:szCs w:val="20"/>
          <w:color w:val="auto"/>
        </w:rPr>
      </w:pPr>
      <w:r>
        <w:rPr>
          <w:rFonts w:ascii="Times New Roman" w:cs="Times New Roman" w:eastAsia="Times New Roman" w:hAnsi="Times New Roman"/>
          <w:sz w:val="20"/>
          <w:szCs w:val="20"/>
          <w:color w:val="auto"/>
        </w:rPr>
        <w:t>and (iv) tranche B common stock purchase warrants to purchase up to 1,097,394 shares of the Company’s common stock</w:t>
      </w:r>
    </w:p>
    <w:p>
      <w:pPr>
        <w:spacing w:after="0"/>
        <w:rPr>
          <w:sz w:val="20"/>
          <w:szCs w:val="20"/>
          <w:color w:val="auto"/>
        </w:rPr>
      </w:pPr>
      <w:r>
        <w:rPr>
          <w:rFonts w:ascii="Times New Roman" w:cs="Times New Roman" w:eastAsia="Times New Roman" w:hAnsi="Times New Roman"/>
          <w:sz w:val="20"/>
          <w:szCs w:val="20"/>
          <w:color w:val="auto"/>
        </w:rPr>
        <w:t>at an exercise price of $9.1125 per share (the “Tranche B Warrants”). The Tranche A Warrants will be exercisable until</w:t>
      </w:r>
    </w:p>
    <w:p>
      <w:pPr>
        <w:spacing w:after="0"/>
        <w:rPr>
          <w:sz w:val="20"/>
          <w:szCs w:val="20"/>
          <w:color w:val="auto"/>
        </w:rPr>
      </w:pPr>
      <w:r>
        <w:rPr>
          <w:rFonts w:ascii="Times New Roman" w:cs="Times New Roman" w:eastAsia="Times New Roman" w:hAnsi="Times New Roman"/>
          <w:sz w:val="20"/>
          <w:szCs w:val="20"/>
          <w:color w:val="auto"/>
        </w:rPr>
        <w:t>the earlier of (i) the three-year anniversary of issuance and (ii) 30 days after the Company announces the recommended</w:t>
      </w:r>
    </w:p>
    <w:p>
      <w:pPr>
        <w:spacing w:after="0"/>
        <w:rPr>
          <w:sz w:val="20"/>
          <w:szCs w:val="20"/>
          <w:color w:val="auto"/>
        </w:rPr>
      </w:pPr>
      <w:r>
        <w:rPr>
          <w:rFonts w:ascii="Times New Roman" w:cs="Times New Roman" w:eastAsia="Times New Roman" w:hAnsi="Times New Roman"/>
          <w:sz w:val="20"/>
          <w:szCs w:val="20"/>
          <w:color w:val="auto"/>
        </w:rPr>
        <w:t>Phase 2 dose for ATRN-119, and, following such announcement, the daily volume weighted average price of the</w:t>
      </w:r>
    </w:p>
    <w:p>
      <w:pPr>
        <w:spacing w:after="0"/>
        <w:rPr>
          <w:sz w:val="20"/>
          <w:szCs w:val="20"/>
          <w:color w:val="auto"/>
        </w:rPr>
      </w:pPr>
      <w:r>
        <w:rPr>
          <w:rFonts w:ascii="Times New Roman" w:cs="Times New Roman" w:eastAsia="Times New Roman" w:hAnsi="Times New Roman"/>
          <w:sz w:val="20"/>
          <w:szCs w:val="20"/>
          <w:color w:val="auto"/>
        </w:rPr>
        <w:t>Company’s common stock equals or exceeds $14.58 for 30 consecutive trading days. The Tranche B Warrants will be</w:t>
      </w:r>
    </w:p>
    <w:p>
      <w:pPr>
        <w:sectPr>
          <w:pgSz w:w="11880" w:h="15480" w:orient="portrait"/>
          <w:cols w:equalWidth="0" w:num="1">
            <w:col w:w="9700"/>
          </w:cols>
          <w:pgMar w:left="1080" w:top="69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9700"/>
          </w:cols>
          <w:pgMar w:left="1080" w:top="697" w:right="1100" w:bottom="554"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exercisable until the earlier of (i) the five-year anniversary of issuance and (ii) 30 days after the Company announces the recommended Phase 2 dose for APR-1051 and, following such announcement, the daily volume weighted average price of the Company’s common stock equals or exceeds $18.225 for 30 consecutive trading days. To the extent that the exercise of a Tranche A Warrant or Tranche B Warrant would result in the holder beneficially owning greater</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than 4.99% (or, at the election of the holder, greater than 9.99%) of the Company’s outstanding common stock immediately following such exercise, the holder will instead receive pre-funded warrants in substantially the same form as the pre-funded warrants issued at closing. The aggregate upfront gross proceeds from the issuance of common stock and pre-funded common stock purchase warrants totaled approximately $16.0 million, before deducting placement agent fees and offering costs of approximately $1.3 million. The gross proceeds from potential future warrant cash exercises are expected to be up to approximately $18.0 million, before deducting placement agent fees. In April 2024, the Company registered on Form S-3 the resale of the March 2024 Shares, the March 2024 Pre-Funded Shares and the shares underlying the Tranche A Warrants and Tranche B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December 2025 Private Placement</w:t>
      </w:r>
    </w:p>
    <w:p>
      <w:pPr>
        <w:spacing w:after="0" w:line="23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On December 8, 2025, the Company entered into a securities purchase agreement with certain purchasers (the “Purchasers”) pursuant to which the Company agreed to issue and sell to the Purchasers in a private placement offering exempt from registration under the Securities Act of 1933, as amended, or the Securities Act, and the Purchasers agreed to purchase from the Company (i) 26,459 shares of the Company’s common stock at a purchase price of $1.165 per share (the “December 2025 Shares”), (ii) pre-funded common stock purchase warrants at a purchase price of $1.164 to purchase an aggregate of up to 2,596,564 shares of the Company’s common stock at an exercise price of $0.001 per share (the “December 2025 Pre-Funded Shares”), (iii) common stock purchase warrants to purchase up</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to 2,880,533 shares of the Company’s common stock at an exercise price of $ 1.04 per share, including this issuance of a warrant to purchase up to 257,510 shares of the Company’s common stock to the placement agent (the “December 2025 Warrants”). The December 2025 Warrants will be exercisable until the five-year anniversary of issuance. To the extent that the exercise of a December 2025 Warrant would result in the holder beneficially owning greater than 4.99% (or, at the election of the holder, greater than 9.99%) of the Company’s outstanding common stock immediately following such exercise, the holder will instead receive pre-funded warrants in substantially the same form as the pre-funded warrants issued at closing. The aggregate upfront gross proceeds from the issuance of common stock and pre-funded common stock purchase warrants totaled approximately $3.1 million, before deducting placement agent fees and offering costs of approximately $0.4 million. In December 2025, the Company registered on Form S-3 the resale of the December 2025 Shares, the December 2025 Pre-Funded Shares and the shares underlying the December 2025 Warrants.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Company evaluated the terms of the warrants issued in the March 2024 and December 2025 Private Placements and determined that they should be classified as equity instruments within additional paid-in capital. As of</w:t>
      </w:r>
    </w:p>
    <w:p>
      <w:pPr>
        <w:spacing w:after="0" w:line="1" w:lineRule="exact"/>
        <w:rPr>
          <w:sz w:val="20"/>
          <w:szCs w:val="20"/>
          <w:color w:val="auto"/>
        </w:rPr>
      </w:pPr>
    </w:p>
    <w:p>
      <w:pPr>
        <w:ind w:right="900"/>
        <w:spacing w:after="0"/>
        <w:rPr>
          <w:sz w:val="20"/>
          <w:szCs w:val="20"/>
          <w:color w:val="auto"/>
        </w:rPr>
      </w:pPr>
      <w:r>
        <w:rPr>
          <w:rFonts w:ascii="Times New Roman" w:cs="Times New Roman" w:eastAsia="Times New Roman" w:hAnsi="Times New Roman"/>
          <w:sz w:val="20"/>
          <w:szCs w:val="20"/>
          <w:color w:val="auto"/>
        </w:rPr>
        <w:t>December 31, 2025 and 2024, none of the Tranche A Warrants or Tranche B Warrants have been exercised. During 2025, 91,206 warrants to purchase March 2024 Pre-Funded Shares were exercised for proceeds of $91</w:t>
      </w:r>
    </w:p>
    <w:p>
      <w:pPr>
        <w:spacing w:after="0" w:line="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and 1,198,700 warrants to purchase December 2025 Pre- Funded Shares were exercised for no proceeds. No warrants to purchase March 2024 Pre-Funded Shares were exercised during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warrants outstanding as of December 31, 2025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0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5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1"/>
        </w:trPr>
        <w:tc>
          <w:tcPr>
            <w:tcW w:w="10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March 2024</w:t>
            </w:r>
          </w:p>
        </w:tc>
        <w:tc>
          <w:tcPr>
            <w:tcW w:w="5120" w:type="dxa"/>
            <w:vAlign w:val="bottom"/>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96"/>
              </w:rPr>
              <w:t>Tranche A Warrants . . . . . . . . . . . . . . . . . . . . . . . . . . . . . . . . . .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1,097,394</w:t>
            </w:r>
          </w:p>
        </w:tc>
        <w:tc>
          <w:tcPr>
            <w:tcW w:w="2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7.2900</w:t>
            </w:r>
          </w:p>
        </w:tc>
        <w:tc>
          <w:tcPr>
            <w:tcW w:w="2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3/11/2027</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March 2024</w:t>
            </w:r>
          </w:p>
        </w:tc>
        <w:tc>
          <w:tcPr>
            <w:tcW w:w="5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6"/>
              </w:rPr>
              <w:t>Tranche B Warrants . . . . . . . . . . . . . . . . . . . . . . . . . . . . . . . . . .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1,097,394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3/11/2029</w:t>
            </w:r>
          </w:p>
        </w:tc>
      </w:tr>
      <w:tr>
        <w:trPr>
          <w:trHeight w:val="23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March 2024 pre-funded warrants . . . . . . . . . . . . . . . . . . . . . . . . . . . . . . . . . .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415,870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0.0010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3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December 2025 pre-funded warrants . . . . . . . . . . . . . . . . . . . . . . . . . . . . . . .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1,397,864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0.0010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2025 warrants . . . . . . . . . . . . . . . . . . . . . . . . . . . . . . . . . . . . . . . .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2,880,533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12/10/2030</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 . . . . .Total</w:t>
            </w:r>
          </w:p>
        </w:tc>
        <w:tc>
          <w:tcPr>
            <w:tcW w:w="5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5"/>
              </w:rPr>
              <w:t>. . . . . . . . . . . . . . . . . . . . . . . . . . . . . . . . . . . . . . . . . . . . . . . . . . . .</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6,889,055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9720"/>
          </w:cols>
          <w:pgMar w:left="1080" w:top="69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9720"/>
          </w:cols>
          <w:pgMar w:left="1080" w:top="697" w:right="1080" w:bottom="554"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Equity Incentive Plan</w:t>
      </w:r>
    </w:p>
    <w:p>
      <w:pPr>
        <w:spacing w:after="0" w:line="235"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In September 2019, the Company’s Board of Directors approved the 2019 Equity Incentive Plan (the “2019 Plan) and each outstanding option to purchase Aprea AB ordinary shares pursuant to a previous plan was cancelled and the Company issued to each holder of such Aprea AB option, a substitute option to purchase, on the same terms and conditions as were applicable to such Aprea AB option, shares of the Company’s common stock pursuant to the 2019 Plan.</w:t>
      </w:r>
    </w:p>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Board of Directors has the discretion to provide for accelerated vesting under the 2019 Plan. At December 31, 2025, there were 180,880 shares available for future grant under the 2019 Plan. Effective January 1, 2026, the number of shares available for future grant under the 2019 Plan was increased by 327,701 shares.</w:t>
      </w:r>
    </w:p>
    <w:p>
      <w:pPr>
        <w:spacing w:after="0" w:line="18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The Company recorded stock-based compensation expense of $0.5 million and $ 0.5 million during the years ended December 31, 2025 and 2024, respectively. As of December 31, 2025, there was $0.5 million of unrecognized compensation cost related to nonvested share-based compensation arrangements granted under the 2019 Plan, which is expected to be recognized over a weighted-average period of approximately 2.1 years.</w:t>
      </w:r>
    </w:p>
    <w:p>
      <w:pPr>
        <w:spacing w:after="0" w:line="19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The fair value of each option award is estimated on the date of grant using Black-Scholes, with the assumptions noted in the table below. Expected volatility for the Company’s common stock was determined based on an average of the historical volatility of a peer group of similar public companies. The expected term of options granted to employees was calculated using the simplified method, which represents the average of the contractual term of the option and the weighted- average vesting period of the option. The Company uses the simplified method because it does not have sufficient historical option exercise data to provide a reasonable basis upon which to estimate expected term. The contractual life of the option was used for the expected life of options granted to non-employee. The assumed dividend yield is based upon the Company’s expectation of not paying dividends in the foreseeable future. The risk-free rate for periods within the expected life of the option is based upon the implied yield on a U.S. Treasury security in effect at the time of grant.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assumptions used in Black-Scholes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2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240" w:type="dxa"/>
            <w:vAlign w:val="bottom"/>
            <w:vMerge w:val="restart"/>
          </w:tcPr>
          <w:p>
            <w:pPr>
              <w:jc w:val="right"/>
              <w:ind w:right="5620"/>
              <w:spacing w:after="0"/>
              <w:rPr>
                <w:sz w:val="20"/>
                <w:szCs w:val="20"/>
                <w:color w:val="auto"/>
              </w:rPr>
            </w:pPr>
            <w:r>
              <w:rPr>
                <w:rFonts w:ascii="Times New Roman" w:cs="Times New Roman" w:eastAsia="Times New Roman" w:hAnsi="Times New Roman"/>
                <w:sz w:val="20"/>
                <w:szCs w:val="20"/>
                <w:color w:val="auto"/>
                <w:w w:val="98"/>
              </w:rPr>
              <w:t>Expected volatility</w:t>
            </w:r>
          </w:p>
        </w:tc>
        <w:tc>
          <w:tcPr>
            <w:tcW w:w="1160" w:type="dxa"/>
            <w:vAlign w:val="bottom"/>
          </w:tcPr>
          <w:p>
            <w:pPr>
              <w:jc w:val="right"/>
              <w:ind w:right="32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gridSpan w:val="2"/>
          </w:tcPr>
          <w:p>
            <w:pPr>
              <w:jc w:val="right"/>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7240" w:type="dxa"/>
            <w:vAlign w:val="bottom"/>
            <w:vMerge w:val="continue"/>
          </w:tcPr>
          <w:p>
            <w:pPr>
              <w:jc w:val="right"/>
              <w:ind w:right="200"/>
              <w:spacing w:after="0" w:line="176" w:lineRule="exact"/>
              <w:rPr>
                <w:sz w:val="20"/>
                <w:szCs w:val="20"/>
                <w:color w:val="auto"/>
              </w:rPr>
            </w:pPr>
            <w:r>
              <w:rPr>
                <w:rFonts w:ascii="Times New Roman" w:cs="Times New Roman" w:eastAsia="Times New Roman" w:hAnsi="Times New Roman"/>
                <w:sz w:val="20"/>
                <w:szCs w:val="20"/>
                <w:color w:val="auto"/>
              </w:rPr>
              <w:t>. . . . . . . . . . . . . . . . . . . . . . . . . . . . . . . . . . . . . . . . . . . . . . . . . . . . . . . . .</w:t>
            </w:r>
          </w:p>
        </w:tc>
        <w:tc>
          <w:tcPr>
            <w:tcW w:w="11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8"/>
              </w:rPr>
              <w:t>83.0%-83.6%</w:t>
            </w:r>
          </w:p>
        </w:tc>
        <w:tc>
          <w:tcPr>
            <w:tcW w:w="160" w:type="dxa"/>
            <w:vAlign w:val="bottom"/>
          </w:tcPr>
          <w:p>
            <w:pPr>
              <w:spacing w:after="0"/>
              <w:rPr>
                <w:sz w:val="17"/>
                <w:szCs w:val="17"/>
                <w:color w:val="auto"/>
              </w:rPr>
            </w:pPr>
          </w:p>
        </w:tc>
        <w:tc>
          <w:tcPr>
            <w:tcW w:w="11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8"/>
              </w:rPr>
              <w:t>83.8%-92.3%</w:t>
            </w:r>
          </w:p>
        </w:tc>
        <w:tc>
          <w:tcPr>
            <w:tcW w:w="0" w:type="dxa"/>
            <w:vAlign w:val="bottom"/>
          </w:tcPr>
          <w:p>
            <w:pPr>
              <w:spacing w:after="0"/>
              <w:rPr>
                <w:sz w:val="1"/>
                <w:szCs w:val="1"/>
                <w:color w:val="auto"/>
              </w:rPr>
            </w:pPr>
          </w:p>
        </w:tc>
      </w:tr>
      <w:tr>
        <w:trPr>
          <w:trHeight w:val="230"/>
        </w:trPr>
        <w:tc>
          <w:tcPr>
            <w:tcW w:w="7240" w:type="dxa"/>
            <w:vAlign w:val="bottom"/>
          </w:tcPr>
          <w:p>
            <w:pPr>
              <w:jc w:val="right"/>
              <w:ind w:right="200"/>
              <w:spacing w:after="0" w:line="230" w:lineRule="exact"/>
              <w:rPr>
                <w:sz w:val="20"/>
                <w:szCs w:val="20"/>
                <w:color w:val="auto"/>
              </w:rPr>
            </w:pPr>
            <w:r>
              <w:rPr>
                <w:rFonts w:ascii="Times New Roman" w:cs="Times New Roman" w:eastAsia="Times New Roman" w:hAnsi="Times New Roman"/>
                <w:sz w:val="20"/>
                <w:szCs w:val="20"/>
                <w:color w:val="auto"/>
                <w:w w:val="96"/>
              </w:rPr>
              <w:t>Risk</w:t>
            </w:r>
            <w:r>
              <w:rPr>
                <w:rFonts w:ascii="MS PMincho" w:cs="MS PMincho" w:eastAsia="MS PMincho" w:hAnsi="MS PMincho"/>
                <w:sz w:val="20"/>
                <w:szCs w:val="20"/>
                <w:color w:val="auto"/>
                <w:w w:val="96"/>
              </w:rPr>
              <w:t>‑</w:t>
            </w:r>
            <w:r>
              <w:rPr>
                <w:rFonts w:ascii="Times New Roman" w:cs="Times New Roman" w:eastAsia="Times New Roman" w:hAnsi="Times New Roman"/>
                <w:sz w:val="20"/>
                <w:szCs w:val="20"/>
                <w:color w:val="auto"/>
                <w:w w:val="96"/>
              </w:rPr>
              <w:t>free rate . . . . . . . . . . . . . . . . . . . .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3.99%-4.38%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4.18%-4.64%</w:t>
            </w:r>
          </w:p>
        </w:tc>
        <w:tc>
          <w:tcPr>
            <w:tcW w:w="0" w:type="dxa"/>
            <w:vAlign w:val="bottom"/>
          </w:tcPr>
          <w:p>
            <w:pPr>
              <w:spacing w:after="0"/>
              <w:rPr>
                <w:sz w:val="1"/>
                <w:szCs w:val="1"/>
                <w:color w:val="auto"/>
              </w:rPr>
            </w:pPr>
          </w:p>
        </w:tc>
      </w:tr>
      <w:tr>
        <w:trPr>
          <w:trHeight w:val="229"/>
        </w:trPr>
        <w:tc>
          <w:tcPr>
            <w:tcW w:w="72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Expected dividend yield . . . . . . . . . . .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67"/>
        </w:trPr>
        <w:tc>
          <w:tcPr>
            <w:tcW w:w="72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Expected term in years . . . . . . . . . . . .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69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9720"/>
          </w:cols>
          <w:pgMar w:left="1080" w:top="697" w:right="1080" w:bottom="554" w:gutter="0" w:footer="0" w:header="0"/>
          <w:type w:val="continuous"/>
        </w:sectPr>
      </w:pPr>
    </w:p>
    <w:bookmarkStart w:id="145" w:name="page146"/>
    <w:bookmarkEnd w:id="145"/>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option activity under the Plan during the years ended December 31, 2025 and 2024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w w:val="98"/>
              </w:rPr>
              <w:t>Weighted</w:t>
            </w:r>
            <w:r>
              <w:rPr>
                <w:rFonts w:ascii="MS PMincho" w:cs="MS PMincho" w:eastAsia="MS PMincho" w:hAnsi="MS PMincho"/>
                <w:sz w:val="16"/>
                <w:szCs w:val="16"/>
                <w:b w:val="1"/>
                <w:bCs w:val="1"/>
                <w:color w:val="auto"/>
                <w:w w:val="98"/>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4"/>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9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199"/>
        </w:trPr>
        <w:tc>
          <w:tcPr>
            <w:tcW w:w="5560" w:type="dxa"/>
            <w:vAlign w:val="bottom"/>
            <w:gridSpan w:val="2"/>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 . . . . . . . . . . . . . . . . . . .</w:t>
            </w:r>
          </w:p>
        </w:tc>
        <w:tc>
          <w:tcPr>
            <w:tcW w:w="9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596,466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72.95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Granted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Cancelled/Forfeited . . . . . . . . . . . . . . . . . . . . . . . . . . . . . . . . . . .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(28,186)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 . . . . . . . . . . . . . . . . . . . . . . . . .OutstandingatDecember31,2024</w:t>
            </w: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715,620</w:t>
            </w:r>
          </w:p>
        </w:tc>
        <w:tc>
          <w:tcPr>
            <w:tcW w:w="28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61.</w:t>
            </w:r>
            <w:r>
              <w:rPr>
                <w:rFonts w:ascii="Times New Roman" w:cs="Times New Roman" w:eastAsia="Times New Roman" w:hAnsi="Times New Roman"/>
                <w:sz w:val="20"/>
                <w:szCs w:val="20"/>
                <w:u w:val="single" w:color="auto"/>
                <w:color w:val="auto"/>
              </w:rPr>
              <w:t>79</w:t>
            </w:r>
          </w:p>
        </w:tc>
        <w:tc>
          <w:tcPr>
            <w:tcW w:w="12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6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 . . . . . . . . . . . . . . . . . . . . . . . . . . . . . . . . . . . . . . . . . . . . .Granted</w:t>
            </w:r>
          </w:p>
        </w:tc>
        <w:tc>
          <w:tcPr>
            <w:tcW w:w="92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116,040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2.09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Cancelled/Forfeited . . . . . . . . . . . . . . . . . . . . . . . . . . . . . . . . . . .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(20,539)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 . . . . . . . . . . . . . . . . . . . . . . . . .OutstandingatDecember31,2025</w:t>
            </w: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811,121</w:t>
            </w:r>
          </w:p>
        </w:tc>
        <w:tc>
          <w:tcPr>
            <w:tcW w:w="28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54.</w:t>
            </w:r>
            <w:r>
              <w:rPr>
                <w:rFonts w:ascii="Times New Roman" w:cs="Times New Roman" w:eastAsia="Times New Roman" w:hAnsi="Times New Roman"/>
                <w:sz w:val="20"/>
                <w:szCs w:val="20"/>
                <w:u w:val="single" w:color="auto"/>
                <w:color w:val="auto"/>
              </w:rPr>
              <w:t>63</w:t>
            </w:r>
          </w:p>
        </w:tc>
        <w:tc>
          <w:tcPr>
            <w:tcW w:w="12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5.6</w:t>
            </w:r>
          </w:p>
        </w:tc>
        <w:tc>
          <w:tcPr>
            <w:tcW w:w="28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5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 . . . . . . . . . . . . . . . . . . . . . . . . . .ExercisableatDecember31,2025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624,537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w:t>
            </w:r>
            <w:r>
              <w:rPr>
                <w:rFonts w:ascii="Times New Roman" w:cs="Times New Roman" w:eastAsia="Times New Roman" w:hAnsi="Times New Roman"/>
                <w:sz w:val="20"/>
                <w:szCs w:val="20"/>
                <w:u w:val="single" w:color="auto"/>
                <w:color w:val="auto"/>
              </w:rPr>
              <w:t>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55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Vested or expected to vest at December 31, 2025 . . . . . . . . . . . . . .</w:t>
            </w: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811,121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r>
              <w:rPr>
                <w:rFonts w:ascii="Times New Roman" w:cs="Times New Roman" w:eastAsia="Times New Roman" w:hAnsi="Times New Roman"/>
                <w:sz w:val="20"/>
                <w:szCs w:val="20"/>
                <w:u w:val="single" w:color="auto"/>
                <w:color w:val="auto"/>
              </w:rPr>
              <w:t>63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The weighted-average grant date fair value of options granted during the years ended December 31, 2025 and 2024, was $1.57 and $4.53, per share,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the Company granted the following RSU’s:</w:t>
      </w:r>
    </w:p>
    <w:p>
      <w:pPr>
        <w:spacing w:after="0" w:line="254" w:lineRule="exact"/>
        <w:rPr>
          <w:sz w:val="20"/>
          <w:szCs w:val="20"/>
          <w:color w:val="auto"/>
        </w:rPr>
      </w:pPr>
    </w:p>
    <w:p>
      <w:pPr>
        <w:ind w:left="720" w:right="980" w:hanging="353"/>
        <w:spacing w:after="0" w:line="207" w:lineRule="auto"/>
        <w:tabs>
          <w:tab w:leader="none" w:pos="720" w:val="left"/>
        </w:tabs>
        <w:numPr>
          <w:ilvl w:val="0"/>
          <w:numId w:val="72"/>
        </w:numPr>
        <w:rPr>
          <w:rFonts w:ascii="Symbol" w:cs="Symbol" w:eastAsia="Symbol" w:hAnsi="Symbol"/>
          <w:sz w:val="20"/>
          <w:szCs w:val="20"/>
          <w:color w:val="auto"/>
        </w:rPr>
      </w:pPr>
      <w:r>
        <w:rPr>
          <w:rFonts w:ascii="Times New Roman" w:cs="Times New Roman" w:eastAsia="Times New Roman" w:hAnsi="Times New Roman"/>
          <w:sz w:val="20"/>
          <w:szCs w:val="20"/>
          <w:color w:val="auto"/>
        </w:rPr>
        <w:t>a total of 10,090 RSUs to executive officers of the Company which vest ratably on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anniversaries of the grant date.</w:t>
      </w:r>
    </w:p>
    <w:p>
      <w:pPr>
        <w:spacing w:after="0" w:line="99" w:lineRule="exact"/>
        <w:rPr>
          <w:rFonts w:ascii="Symbol" w:cs="Symbol" w:eastAsia="Symbol" w:hAnsi="Symbol"/>
          <w:sz w:val="20"/>
          <w:szCs w:val="20"/>
          <w:color w:val="auto"/>
        </w:rPr>
      </w:pPr>
    </w:p>
    <w:p>
      <w:pPr>
        <w:ind w:left="720" w:right="140" w:hanging="353"/>
        <w:spacing w:after="0" w:line="262" w:lineRule="auto"/>
        <w:tabs>
          <w:tab w:leader="none" w:pos="720" w:val="left"/>
        </w:tabs>
        <w:numPr>
          <w:ilvl w:val="0"/>
          <w:numId w:val="72"/>
        </w:numPr>
        <w:rPr>
          <w:rFonts w:ascii="Symbol" w:cs="Symbol" w:eastAsia="Symbol" w:hAnsi="Symbol"/>
          <w:sz w:val="20"/>
          <w:szCs w:val="20"/>
          <w:color w:val="auto"/>
        </w:rPr>
      </w:pPr>
      <w:r>
        <w:rPr>
          <w:rFonts w:ascii="Times New Roman" w:cs="Times New Roman" w:eastAsia="Times New Roman" w:hAnsi="Times New Roman"/>
          <w:sz w:val="20"/>
          <w:szCs w:val="20"/>
          <w:color w:val="auto"/>
        </w:rPr>
        <w:t>a total of 8,360 RSUs to non-employee directors of the Company which vest on the one-year anniversary of the grant date.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2024, the Company granted the following RSU’s:</w:t>
      </w:r>
    </w:p>
    <w:p>
      <w:pPr>
        <w:spacing w:after="0" w:line="254" w:lineRule="exact"/>
        <w:rPr>
          <w:sz w:val="20"/>
          <w:szCs w:val="20"/>
          <w:color w:val="auto"/>
        </w:rPr>
      </w:pPr>
    </w:p>
    <w:p>
      <w:pPr>
        <w:ind w:left="720" w:right="980" w:hanging="353"/>
        <w:spacing w:after="0" w:line="207" w:lineRule="auto"/>
        <w:tabs>
          <w:tab w:leader="none" w:pos="720" w:val="left"/>
        </w:tabs>
        <w:numPr>
          <w:ilvl w:val="0"/>
          <w:numId w:val="73"/>
        </w:numPr>
        <w:rPr>
          <w:rFonts w:ascii="Symbol" w:cs="Symbol" w:eastAsia="Symbol" w:hAnsi="Symbol"/>
          <w:sz w:val="20"/>
          <w:szCs w:val="20"/>
          <w:color w:val="auto"/>
        </w:rPr>
      </w:pPr>
      <w:r>
        <w:rPr>
          <w:rFonts w:ascii="Times New Roman" w:cs="Times New Roman" w:eastAsia="Times New Roman" w:hAnsi="Times New Roman"/>
          <w:sz w:val="20"/>
          <w:szCs w:val="20"/>
          <w:color w:val="auto"/>
        </w:rPr>
        <w:t>a total of 16,820 RSUs to executive officers of the Company which vest ratably on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anniversaries of the grant date.</w:t>
      </w:r>
    </w:p>
    <w:p>
      <w:pPr>
        <w:spacing w:after="0" w:line="99" w:lineRule="exact"/>
        <w:rPr>
          <w:rFonts w:ascii="Symbol" w:cs="Symbol" w:eastAsia="Symbol" w:hAnsi="Symbol"/>
          <w:sz w:val="20"/>
          <w:szCs w:val="20"/>
          <w:color w:val="auto"/>
        </w:rPr>
      </w:pPr>
    </w:p>
    <w:p>
      <w:pPr>
        <w:ind w:left="720" w:right="140" w:hanging="353"/>
        <w:spacing w:after="0" w:line="262" w:lineRule="auto"/>
        <w:tabs>
          <w:tab w:leader="none" w:pos="720" w:val="left"/>
        </w:tabs>
        <w:numPr>
          <w:ilvl w:val="0"/>
          <w:numId w:val="73"/>
        </w:numPr>
        <w:rPr>
          <w:rFonts w:ascii="Symbol" w:cs="Symbol" w:eastAsia="Symbol" w:hAnsi="Symbol"/>
          <w:sz w:val="20"/>
          <w:szCs w:val="20"/>
          <w:color w:val="auto"/>
        </w:rPr>
      </w:pPr>
      <w:r>
        <w:rPr>
          <w:rFonts w:ascii="Times New Roman" w:cs="Times New Roman" w:eastAsia="Times New Roman" w:hAnsi="Times New Roman"/>
          <w:sz w:val="20"/>
          <w:szCs w:val="20"/>
          <w:color w:val="auto"/>
        </w:rPr>
        <w:t>a total of 6,270 RSUs to non-employee directors of the Company which vest on the one-year anniversary of the grant date.</w:t>
      </w:r>
    </w:p>
    <w:p>
      <w:pPr>
        <w:spacing w:after="0" w:line="61"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color w:val="auto"/>
        </w:rPr>
        <w:t>As of December 31, 2025, there was $0.1 million of unrecognized compensation cost related to RSUs granted under the 2019 Plan, which is expected to be recognized over a weighted-average period of approximately 1.8 years.</w:t>
      </w:r>
    </w:p>
    <w:p>
      <w:pPr>
        <w:sectPr>
          <w:pgSz w:w="11880" w:h="15480" w:orient="portrait"/>
          <w:cols w:equalWidth="0" w:num="1">
            <w:col w:w="9780"/>
          </w:cols>
          <w:pgMar w:left="1080" w:top="697" w:right="102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9780"/>
          </w:cols>
          <w:pgMar w:left="1080" w:top="697" w:right="1020" w:bottom="554"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Aprea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restricted stock unit activity during the year ended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6"/>
              <w:spacing w:after="0" w:line="184" w:lineRule="exact"/>
              <w:rPr>
                <w:sz w:val="20"/>
                <w:szCs w:val="20"/>
                <w:color w:val="auto"/>
              </w:rPr>
            </w:pPr>
            <w:r>
              <w:rPr>
                <w:rFonts w:ascii="Times New Roman" w:cs="Times New Roman" w:eastAsia="Times New Roman" w:hAnsi="Times New Roman"/>
                <w:sz w:val="16"/>
                <w:szCs w:val="16"/>
                <w:b w:val="1"/>
                <w:bCs w:val="1"/>
                <w:color w:val="auto"/>
              </w:rPr>
              <w:t>Weighted</w:t>
            </w:r>
            <w:r>
              <w:rPr>
                <w:rFonts w:ascii="MS PMincho" w:cs="MS PMincho" w:eastAsia="MS PMincho" w:hAnsi="MS PMincho"/>
                <w:sz w:val="16"/>
                <w:szCs w:val="16"/>
                <w:b w:val="1"/>
                <w:bCs w:val="1"/>
                <w:color w:val="auto"/>
              </w:rPr>
              <w:t>‑</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84"/>
        </w:trPr>
        <w:tc>
          <w:tcPr>
            <w:tcW w:w="7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03"/>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7"/>
              </w:rPr>
              <w:t>fair value</w:t>
            </w:r>
          </w:p>
        </w:tc>
        <w:tc>
          <w:tcPr>
            <w:tcW w:w="0" w:type="dxa"/>
            <w:vAlign w:val="bottom"/>
          </w:tcPr>
          <w:p>
            <w:pPr>
              <w:spacing w:after="0"/>
              <w:rPr>
                <w:sz w:val="1"/>
                <w:szCs w:val="1"/>
                <w:color w:val="auto"/>
              </w:rPr>
            </w:pPr>
          </w:p>
        </w:tc>
      </w:tr>
      <w:tr>
        <w:trPr>
          <w:trHeight w:val="201"/>
        </w:trPr>
        <w:tc>
          <w:tcPr>
            <w:tcW w:w="750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23,870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29"/>
        </w:trPr>
        <w:tc>
          <w:tcPr>
            <w:tcW w:w="75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23,090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0" w:type="dxa"/>
            <w:vAlign w:val="bottom"/>
          </w:tcPr>
          <w:p>
            <w:pPr>
              <w:spacing w:after="0"/>
              <w:rPr>
                <w:sz w:val="1"/>
                <w:szCs w:val="1"/>
                <w:color w:val="auto"/>
              </w:rPr>
            </w:pPr>
          </w:p>
        </w:tc>
      </w:tr>
      <w:tr>
        <w:trPr>
          <w:trHeight w:val="230"/>
        </w:trPr>
        <w:tc>
          <w:tcPr>
            <w:tcW w:w="75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(10,518)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0" w:type="dxa"/>
            <w:vAlign w:val="bottom"/>
          </w:tcPr>
          <w:p>
            <w:pPr>
              <w:spacing w:after="0"/>
              <w:rPr>
                <w:sz w:val="1"/>
                <w:szCs w:val="1"/>
                <w:color w:val="auto"/>
              </w:rPr>
            </w:pPr>
          </w:p>
        </w:tc>
      </w:tr>
      <w:tr>
        <w:trPr>
          <w:trHeight w:val="250"/>
        </w:trPr>
        <w:tc>
          <w:tcPr>
            <w:tcW w:w="75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Cancelled/Forfeited . . . . . . . . . . . . . . . . . . . .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(6,730)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0" w:type="dxa"/>
            <w:vAlign w:val="bottom"/>
          </w:tcPr>
          <w:p>
            <w:pPr>
              <w:spacing w:after="0"/>
              <w:rPr>
                <w:sz w:val="1"/>
                <w:szCs w:val="1"/>
                <w:color w:val="auto"/>
              </w:rPr>
            </w:pPr>
          </w:p>
        </w:tc>
      </w:tr>
      <w:tr>
        <w:trPr>
          <w:trHeight w:val="229"/>
        </w:trPr>
        <w:tc>
          <w:tcPr>
            <w:tcW w:w="7500" w:type="dxa"/>
            <w:vAlign w:val="bottom"/>
            <w:gridSpan w:val="2"/>
          </w:tcPr>
          <w:p>
            <w:pPr>
              <w:jc w:val="right"/>
              <w:ind w:right="36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.OutstandingatDecember31,2024</w:t>
            </w:r>
          </w:p>
        </w:tc>
        <w:tc>
          <w:tcPr>
            <w:tcW w:w="9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29,712</w:t>
            </w:r>
          </w:p>
        </w:tc>
        <w:tc>
          <w:tcPr>
            <w:tcW w:w="240" w:type="dxa"/>
            <w:vAlign w:val="bottom"/>
          </w:tcPr>
          <w:p>
            <w:pPr>
              <w:spacing w:after="0"/>
              <w:rPr>
                <w:sz w:val="19"/>
                <w:szCs w:val="19"/>
                <w:color w:val="auto"/>
              </w:rPr>
            </w:pPr>
          </w:p>
        </w:tc>
        <w:tc>
          <w:tcPr>
            <w:tcW w:w="1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7.83</w:t>
            </w:r>
          </w:p>
        </w:tc>
        <w:tc>
          <w:tcPr>
            <w:tcW w:w="0" w:type="dxa"/>
            <w:vAlign w:val="bottom"/>
          </w:tcPr>
          <w:p>
            <w:pPr>
              <w:spacing w:after="0"/>
              <w:rPr>
                <w:sz w:val="1"/>
                <w:szCs w:val="1"/>
                <w:color w:val="auto"/>
              </w:rPr>
            </w:pPr>
          </w:p>
        </w:tc>
      </w:tr>
      <w:tr>
        <w:trPr>
          <w:trHeight w:val="211"/>
        </w:trPr>
        <w:tc>
          <w:tcPr>
            <w:tcW w:w="7500" w:type="dxa"/>
            <w:vAlign w:val="bottom"/>
            <w:gridSpan w:val="2"/>
          </w:tcPr>
          <w:p>
            <w:pPr>
              <w:jc w:val="right"/>
              <w:ind w:right="360"/>
              <w:spacing w:after="0" w:line="211"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.Granted</w:t>
            </w:r>
          </w:p>
        </w:tc>
        <w:tc>
          <w:tcPr>
            <w:tcW w:w="90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18,450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r>
        <w:trPr>
          <w:trHeight w:val="230"/>
        </w:trPr>
        <w:tc>
          <w:tcPr>
            <w:tcW w:w="75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(17,154)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0" w:type="dxa"/>
            <w:vAlign w:val="bottom"/>
          </w:tcPr>
          <w:p>
            <w:pPr>
              <w:spacing w:after="0"/>
              <w:rPr>
                <w:sz w:val="1"/>
                <w:szCs w:val="1"/>
                <w:color w:val="auto"/>
              </w:rPr>
            </w:pPr>
          </w:p>
        </w:tc>
      </w:tr>
      <w:tr>
        <w:trPr>
          <w:trHeight w:val="250"/>
        </w:trPr>
        <w:tc>
          <w:tcPr>
            <w:tcW w:w="75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Cancelled/Forfeited . . . . . . . . . . . . . . . . . . . . . . . . . . . . . . . . . . . . . . . . . . . . . . . . . . . . . . .</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480" w:type="dxa"/>
            <w:vAlign w:val="bottom"/>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97"/>
              </w:rPr>
              <w:t>Outstanding at December 31, 2025 . . . . . . . . . . . . . . . . . . . . . . . . . . . . . . . . . . . . . . . . . . . . .</w:t>
            </w:r>
          </w:p>
        </w:tc>
        <w:tc>
          <w:tcPr>
            <w:tcW w:w="2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31,008</w:t>
            </w:r>
          </w:p>
        </w:tc>
        <w:tc>
          <w:tcPr>
            <w:tcW w:w="24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4.31</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Commitments and Contingencies</w:t>
      </w:r>
    </w:p>
    <w:p>
      <w:pPr>
        <w:spacing w:after="0" w:line="20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From time to time, the Company may be party to litigation arising in the ordinary course of its business. The Company was not subject to any material legal proceedings during the years ended December 31, 2025 and 2024, and, to its knowledge, no material legal proceedings are currently pending or threatened. The Company records a provision for contingent losses when it is both probable that a liability has been incurred and the amount of the loss can be reasonably estimated. As of December 31, 2025, the Company has not recorded a provision for any contingent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Subsequent Events</w:t>
      </w:r>
    </w:p>
    <w:p>
      <w:pPr>
        <w:spacing w:after="0" w:line="20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On January 28, 2026, the Company entered into a securities purchase agreement with certain purchasers (the “January Purchasers”) pursuant to which the Company agreed to issue and sell to the January Purchasers in a private placement offering exempt from registration under the Securities Act of 1933, as amended, or the Securities Act, and the January Purchasers agreed to purchase from the Company (i) 1,877,677 shares of the Company’s common stock at a purchase price of $0.8891 per share (the “January 2026 Shares”), (ii) pre-funded common stock purchase warrants at a purchase price of $0.8890 to purchase an aggregate of up to 4,411,180 shares of the Company’s common stock at an exercise price of $0.001 per share (the “January 2026 Pre-Funded Shares”), (iii) common stock purchase warrants to purchase up to 6,288,857 shares of the Company’s common stock at an exercise price of $0.765 per share (the “January 2026 Warrants”). The January 2026 Warrants will be exercisable until the two-year anniversary of issuance. To the extent that the exercise of a January 2026 Warrant would result in the holder beneficially owning greater than 4.99% (or, at the election of the holder, greater than 9.99%) of the Company’s outstanding common stock immediately following such exercise, the holder will instead receive pre-funded warrants in substantially the same form as the pre-funded warrants issued at closing. The aggregate upfront gross proceeds from the issuance of common stock and pre-funded common stock purchase warrants totaled approximately $5.6 million, before deducting placement agent fees and offering costs of approximately $0.4 million.</w:t>
      </w:r>
    </w:p>
    <w:p>
      <w:pPr>
        <w:sectPr>
          <w:pgSz w:w="11880" w:h="15480" w:orient="portrait"/>
          <w:cols w:equalWidth="0" w:num="1">
            <w:col w:w="9720"/>
          </w:cols>
          <w:pgMar w:left="1080" w:top="69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9720"/>
          </w:cols>
          <w:pgMar w:left="1080" w:top="697" w:right="1080" w:bottom="554"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level.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Controls Over Financial Reporting</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Rules 13a-15(f) and 15d-15(f) under the Exchange Act). Our internal control system was designed to provide reasonable assurance regarding the reliability of financial reporting and the preparation of financial statements for external purposes, in accordance with generally accepted accounting principles in the United States. Due to inherent limitations, internal control over financial reporting may not prevent or detect misstatements. Also, projections of any evaluation of effectiveness of the internal control over financial reporting to future periods are subject to the risk that controls may become inadequate because of changes in conditions, or that the degree of compliance with policies and procedures may deteriorate. Our management, under the supervision and with the participation of our chief executive officer and chief financial officer, evaluated the effectiveness of our internal control over financial reporting as of the end of the period covered by this Annual Report on Form 10-K based on the framework in Internal Control---</w:t>
      </w:r>
    </w:p>
    <w:p>
      <w:pPr>
        <w:spacing w:after="0" w:line="9"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0"/>
          <w:szCs w:val="20"/>
          <w:color w:val="auto"/>
        </w:rPr>
        <w:t>Integrated Framework (2013 framework) issued by the Committee of Sponsoring Organizations of the Treadway Commission, or COSO. Based on such evaluation, our management concluded that our internal control over financial reporting was effective as of the end of the period covered by this Annual Report on Form 10-K.</w:t>
      </w:r>
    </w:p>
    <w:p>
      <w:pPr>
        <w:spacing w:after="0" w:line="81"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on internal control over financial reporting issued by our independent registered public accounting firm. Our auditors will not be required to opine on the effectiveness of our internal control over financial reporting pursuant to Section 404(b) of the Sarbanes-Oxley Act</w:t>
      </w:r>
    </w:p>
    <w:p>
      <w:pPr>
        <w:spacing w:after="0" w:line="2"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of 2002 until we are no longer a smaller reporting company with annual revenues of less than $100 million and a public float of less than $700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that occurred during our most recent fiscal quarter that materially affected, or is reasonably likely to materially affect, our internal control over financial reporting.</w:t>
      </w:r>
    </w:p>
    <w:p>
      <w:pPr>
        <w:sectPr>
          <w:pgSz w:w="11880" w:h="15480" w:orient="portrait"/>
          <w:cols w:equalWidth="0" w:num="1">
            <w:col w:w="9720"/>
          </w:cols>
          <w:pgMar w:left="1080" w:top="1062"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1880" w:h="15480" w:orient="portrait"/>
          <w:cols w:equalWidth="0" w:num="1">
            <w:col w:w="9720"/>
          </w:cols>
          <w:pgMar w:left="1080" w:top="1062" w:right="1080" w:bottom="542"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three (3) months ended December 31, 2025, no director or officer adopted or terminated any contract, instruction or written plan for the purchase or sale of company securities intended to satisfy the affirmative defense conditions of Rule 10b5-1(c) of the Exchange Act and/or any non-Rule 10b5-1 trading arrangement.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an amendment to this Annual Report on Form 10-K or incorporated by reference from our definitive proxy statement to be filed pursuant to Rule 14A.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an amendment to this Annual Report on Form 10-K or incorporated by reference from our definitive proxy statement to be filed pursuant to Rule 14A.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4"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an amendment to this Annual Report on Form 10-K or incorporated by reference from our definitive proxy statement to be filed pursuant to Rule 14A.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3"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an amendment to this Annual Report on Form 10-K or incorporated by reference from our definitive proxy statement to be filed pursuant to Rule 14A.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3"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an amendment to this Annual Report on Form 10-K or incorporated by reference from our definitive proxy statement to be filed pursuant to Rule 14A.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236" w:lineRule="exact"/>
        <w:rPr>
          <w:sz w:val="20"/>
          <w:szCs w:val="20"/>
          <w:color w:val="auto"/>
        </w:rPr>
      </w:pPr>
    </w:p>
    <w:p>
      <w:pPr>
        <w:ind w:left="720" w:hanging="713"/>
        <w:spacing w:after="0"/>
        <w:tabs>
          <w:tab w:leader="none" w:pos="72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Statements</w:t>
      </w:r>
    </w:p>
    <w:p>
      <w:pPr>
        <w:spacing w:after="0" w:line="24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The information concerning our consolidated financial statements, and Report of Independent Registered Public Accounting Firm required by this Item is incorporated by reference herein to the section of this Annual Report on Form 10-K in Item 8, entitled “Financial Statements and Supplementary Data.”</w:t>
      </w:r>
    </w:p>
    <w:p>
      <w:pPr>
        <w:spacing w:after="0" w:line="181" w:lineRule="exact"/>
        <w:rPr>
          <w:sz w:val="20"/>
          <w:szCs w:val="20"/>
          <w:color w:val="auto"/>
        </w:rPr>
      </w:pPr>
    </w:p>
    <w:p>
      <w:pPr>
        <w:ind w:left="720" w:hanging="713"/>
        <w:spacing w:after="0"/>
        <w:tabs>
          <w:tab w:leader="none" w:pos="72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All schedules have been omitted because the required information is not present or not present in amounts sufficient to require submission of the schedules, or because the information required is included in the Financial Statements or notes thereto.</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880" w:h="15480" w:orient="portrait"/>
          <w:cols w:equalWidth="0" w:num="1">
            <w:col w:w="9720"/>
          </w:cols>
          <w:pgMar w:left="1080" w:top="1063" w:right="1080" w:bottom="542" w:gutter="0" w:footer="0" w:header="0"/>
          <w:type w:val="continuous"/>
        </w:sectPr>
      </w:pPr>
    </w:p>
    <w:bookmarkStart w:id="149" w:name="page150"/>
    <w:bookmarkEnd w:id="149"/>
    <w:p>
      <w:pPr>
        <w:ind w:left="780" w:hanging="773"/>
        <w:spacing w:after="0"/>
        <w:tabs>
          <w:tab w:leader="none" w:pos="78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List of Exhibits required by Item 601 of Regulation S-K.</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80" w:type="dxa"/>
            <w:vAlign w:val="bottom"/>
          </w:tcPr>
          <w:p>
            <w:pPr>
              <w:spacing w:after="0"/>
              <w:rPr>
                <w:sz w:val="16"/>
                <w:szCs w:val="16"/>
                <w:color w:val="auto"/>
              </w:rPr>
            </w:pPr>
          </w:p>
        </w:tc>
        <w:tc>
          <w:tcPr>
            <w:tcW w:w="846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80" w:type="dxa"/>
            <w:vAlign w:val="bottom"/>
          </w:tcPr>
          <w:p>
            <w:pPr>
              <w:spacing w:after="0"/>
              <w:rPr>
                <w:sz w:val="17"/>
                <w:szCs w:val="17"/>
                <w:color w:val="auto"/>
              </w:rPr>
            </w:pPr>
          </w:p>
        </w:tc>
        <w:tc>
          <w:tcPr>
            <w:tcW w:w="846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431"/>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 Aprea Therapeutics, Inc. (incorporated by</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3.1 to the Current Report on Form 8-K filed on October 7, 2019)</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Amended and Restated Certificate of Incorporation of Aprea Therapeutics,</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Inc. (incorporated by reference to Exhibit 3.1 to the Current Report on Form 8-K filed on February 13,</w:t>
            </w:r>
          </w:p>
        </w:tc>
      </w:tr>
      <w:tr>
        <w:trPr>
          <w:trHeight w:val="267"/>
        </w:trPr>
        <w:tc>
          <w:tcPr>
            <w:tcW w:w="980" w:type="dxa"/>
            <w:vAlign w:val="bottom"/>
          </w:tcPr>
          <w:p>
            <w:pPr>
              <w:spacing w:after="0"/>
              <w:rPr>
                <w:sz w:val="23"/>
                <w:szCs w:val="23"/>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2023)</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Designation of Series A Non-Voting Convertible Preferred Stock (incorporated by</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3.1 to the Current Report on Form 8-K filed on May 17, 2022)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3.4</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Aprea Therapeutics, Inc. (incorporated by reference to Exhibit 3.1 to</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the Quarterly Report on Form 10-Q for the quarter ended September 30, 2020, filed on November 6,</w:t>
            </w:r>
          </w:p>
        </w:tc>
      </w:tr>
      <w:tr>
        <w:trPr>
          <w:trHeight w:val="267"/>
        </w:trPr>
        <w:tc>
          <w:tcPr>
            <w:tcW w:w="980" w:type="dxa"/>
            <w:vAlign w:val="bottom"/>
          </w:tcPr>
          <w:p>
            <w:pPr>
              <w:spacing w:after="0"/>
              <w:rPr>
                <w:sz w:val="23"/>
                <w:szCs w:val="23"/>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2020)</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Aprea Therapeutics, Inc. Common Stock, $0.001 par value (incorporated by reference to</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Exhibit 4.1 to the Annual Report on Form 10-K for the year ended December 31, 2020, filed on March</w:t>
            </w:r>
          </w:p>
        </w:tc>
      </w:tr>
      <w:tr>
        <w:trPr>
          <w:trHeight w:val="267"/>
        </w:trPr>
        <w:tc>
          <w:tcPr>
            <w:tcW w:w="980" w:type="dxa"/>
            <w:vAlign w:val="bottom"/>
          </w:tcPr>
          <w:p>
            <w:pPr>
              <w:spacing w:after="0"/>
              <w:rPr>
                <w:sz w:val="23"/>
                <w:szCs w:val="23"/>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16, 2021)</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 (March 2024 Offering) (incorporated by reference to Exhibit 4.1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March 12, 2024).</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Tranche A Warrant (March 2024 Offering) (incorporated by reference to Exhibit 4.2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March 12, 2024).</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Tranche B Warrant (March 2024 Offering) (incorporated by reference to Exhibit 4.3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March 12, 2024).</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4.5</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 (December 2025 Offering) (incorporated by reference to Exhibit 4.1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December 9, 2025).</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Common Warrant (December 2025 Offering) (incorporated by reference to Exhibit 4.2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December 9, 2025).</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4.7</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Placement Agent Warrant (December 2025 Offering) (incorporated by reference to Exhibit 4.3</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to the Current Report on Form 8-k filed on December 9, 2025).</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4.8</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 (January 2026 Offering) (incorporated by reference to Exhibit 4.1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January 29, 2026).</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4.9</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Common Warrant (January 2026 Offering) (incorporated by reference to Exhibit 4.2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January 29, 2026).</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10. 1+</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2019 Stock Incentive Plan (incorporated by reference to Exhibit 10.1 to the Registration</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Statement on Form S-1 (File No. 333-233662)).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10. 2+</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2019 Employee Stock Purchase Plan (incorporated by reference to Exhibit 10.2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S-1 (File No. 333-233662))</w:t>
            </w:r>
          </w:p>
        </w:tc>
      </w:tr>
    </w:tbl>
    <w:p>
      <w:pPr>
        <w:spacing w:after="0" w:line="200" w:lineRule="exact"/>
        <w:rPr>
          <w:sz w:val="20"/>
          <w:szCs w:val="20"/>
          <w:color w:val="auto"/>
        </w:rPr>
      </w:pP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1880" w:h="15480" w:orient="portrait"/>
          <w:cols w:equalWidth="0" w:num="1">
            <w:col w:w="9720"/>
          </w:cols>
          <w:pgMar w:left="1080" w:top="1063" w:right="1080" w:bottom="542"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80" w:type="dxa"/>
            <w:vAlign w:val="bottom"/>
          </w:tcPr>
          <w:p>
            <w:pPr>
              <w:spacing w:after="0"/>
              <w:rPr>
                <w:sz w:val="16"/>
                <w:szCs w:val="16"/>
                <w:color w:val="auto"/>
              </w:rPr>
            </w:pPr>
          </w:p>
        </w:tc>
        <w:tc>
          <w:tcPr>
            <w:tcW w:w="846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80" w:type="dxa"/>
            <w:vAlign w:val="bottom"/>
          </w:tcPr>
          <w:p>
            <w:pPr>
              <w:spacing w:after="0"/>
              <w:rPr>
                <w:sz w:val="17"/>
                <w:szCs w:val="17"/>
                <w:color w:val="auto"/>
              </w:rPr>
            </w:pPr>
          </w:p>
        </w:tc>
        <w:tc>
          <w:tcPr>
            <w:tcW w:w="846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456"/>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Form of 2019 Equity Incentive Plan Stock Option Agreement</w:t>
            </w:r>
          </w:p>
        </w:tc>
      </w:tr>
      <w:tr>
        <w:trPr>
          <w:trHeight w:val="461"/>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Form of 2019 Equity Incentive Plan Stock Option Award Notice</w:t>
            </w:r>
          </w:p>
        </w:tc>
      </w:tr>
      <w:tr>
        <w:trPr>
          <w:trHeight w:val="460"/>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10.5*+</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Form of 2019 Equity Incentive Plan Restricted Stock Unit Award Agreement</w:t>
            </w:r>
          </w:p>
        </w:tc>
      </w:tr>
      <w:tr>
        <w:trPr>
          <w:trHeight w:val="460"/>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10.6*+</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Form of 2019 Equity Incentive Plan Restricted Stock Unit Award Notice</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Service Agreement, between Aprea AB and Syngene International Private Limited (incorporated by</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10.3 to the Registration Statement on Form S-1 (File No. 333-233662))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10.8</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Registration Rights Agreement by and among Aprea Therapeutics, Inc. and the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shareholders party thereto (incorporated by reference to Exhibit 10.4 to the Registration Statement on</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S-1 (File No. 333-233662))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10.9</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Registration Rights Agreement, by and among Aprea Therapeutics, Inc. and certain</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securityholders (incorporated by reference to Exhibit 10.1 to the Current Report on Form 8-K filed on</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May 17, 2022)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10.10+</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between Aprea Therapeutics, Inc. and each of its directors and</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officers (incorporated by reference to Exhibit 10.5 to the Registration Statement on Form S-1</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(File No. 333-233662))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10.11+</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Executive Employment Agreement (incorporated by reference to Exhibit 10.7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S-1 (File No. 333-233662))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10.12+</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between Aprea Therapeutics, Inc. and Oren Gilad (incorporated by reference to</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Exhibit 10.20 to the Annual Report on Form 10-K filed on March 30, 2023)</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10.13+</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between Aprea Therapeutics, Inc. and John P. Hamill (incorporated by</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10.21 to the Annual Report on Form 10-K filed on March 30, 2023)</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10.14+</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Employment Agreement between Aprea Therapeutics, Inc. and John P. Hamill</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10.18 to the Annual Report on Form 10-K filed on March 25,</w:t>
            </w:r>
          </w:p>
        </w:tc>
      </w:tr>
      <w:tr>
        <w:trPr>
          <w:trHeight w:val="267"/>
        </w:trPr>
        <w:tc>
          <w:tcPr>
            <w:tcW w:w="980" w:type="dxa"/>
            <w:vAlign w:val="bottom"/>
          </w:tcPr>
          <w:p>
            <w:pPr>
              <w:spacing w:after="0"/>
              <w:rPr>
                <w:sz w:val="23"/>
                <w:szCs w:val="23"/>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2025)</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10.15†</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Master Manufacturing and Supply Agreement, between Aprea Therapeutics AB and Siegfried Hameln</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GmbH (incorporated by reference to Exhibit 10.11 to the Registration Statement on Form S-1 (File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No. 333-233662))</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10.16+</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Atrin Pharmaceuticals LLC 2016 Amended and Restated Equity Compensation Plan (incorporated by</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4.3 to the Registration Statement on Form S-8 (File No. 333-265411))</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10.17+</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the 2016 Amended and Restated Equity Compensation Plan (incorporated by</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4.4 to the Registration Statement on Form S-8 (File No. 333-265411))</w:t>
            </w:r>
          </w:p>
        </w:tc>
      </w:tr>
      <w:tr>
        <w:trPr>
          <w:trHeight w:val="423"/>
        </w:trPr>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10.18</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Registration Rights Agreement dated as of March 11, 2024 by and between Aprea Therapeutics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Inc. and the purchasers named therein (incorporated by reference to Exhibit 10.2 to the Current Report</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on March 12,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880" w:h="15480" w:orient="portrait"/>
          <w:cols w:equalWidth="0" w:num="1">
            <w:col w:w="9720"/>
          </w:cols>
          <w:pgMar w:left="1080" w:top="1087" w:right="1080" w:bottom="542"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80" w:type="dxa"/>
            <w:vAlign w:val="bottom"/>
          </w:tcPr>
          <w:p>
            <w:pPr>
              <w:spacing w:after="0"/>
              <w:rPr>
                <w:sz w:val="16"/>
                <w:szCs w:val="16"/>
                <w:color w:val="auto"/>
              </w:rPr>
            </w:pPr>
          </w:p>
        </w:tc>
        <w:tc>
          <w:tcPr>
            <w:tcW w:w="846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80" w:type="dxa"/>
            <w:vAlign w:val="bottom"/>
          </w:tcPr>
          <w:p>
            <w:pPr>
              <w:spacing w:after="0"/>
              <w:rPr>
                <w:sz w:val="17"/>
                <w:szCs w:val="17"/>
                <w:color w:val="auto"/>
              </w:rPr>
            </w:pPr>
          </w:p>
        </w:tc>
        <w:tc>
          <w:tcPr>
            <w:tcW w:w="846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90"/>
        </w:trPr>
        <w:tc>
          <w:tcPr>
            <w:tcW w:w="980" w:type="dxa"/>
            <w:vAlign w:val="bottom"/>
          </w:tcPr>
          <w:p>
            <w:pPr>
              <w:jc w:val="right"/>
              <w:ind w:right="170"/>
              <w:spacing w:after="0" w:line="190" w:lineRule="exact"/>
              <w:rPr>
                <w:sz w:val="20"/>
                <w:szCs w:val="20"/>
                <w:color w:val="auto"/>
              </w:rPr>
            </w:pPr>
            <w:r>
              <w:rPr>
                <w:rFonts w:ascii="Times New Roman" w:cs="Times New Roman" w:eastAsia="Times New Roman" w:hAnsi="Times New Roman"/>
                <w:sz w:val="20"/>
                <w:szCs w:val="20"/>
                <w:color w:val="auto"/>
              </w:rPr>
              <w:t>10.19</w:t>
            </w:r>
          </w:p>
        </w:tc>
        <w:tc>
          <w:tcPr>
            <w:tcW w:w="280" w:type="dxa"/>
            <w:vAlign w:val="bottom"/>
          </w:tcPr>
          <w:p>
            <w:pPr>
              <w:spacing w:after="0"/>
              <w:rPr>
                <w:sz w:val="16"/>
                <w:szCs w:val="16"/>
                <w:color w:val="auto"/>
              </w:rPr>
            </w:pPr>
          </w:p>
        </w:tc>
        <w:tc>
          <w:tcPr>
            <w:tcW w:w="846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Form of Registration Rights Agreement dated as of December 8, 2025, by and between Aprea</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 and the purchasers named therein (incorporated by reference to Exhibit 10.2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December 9, 2025)</w:t>
            </w:r>
          </w:p>
        </w:tc>
      </w:tr>
      <w:tr>
        <w:trPr>
          <w:trHeight w:val="423"/>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20"/>
                <w:szCs w:val="20"/>
                <w:color w:val="auto"/>
              </w:rPr>
              <w:t>10.20</w:t>
            </w:r>
          </w:p>
        </w:tc>
        <w:tc>
          <w:tcPr>
            <w:tcW w:w="28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Form of Registration Rights Agreement dated as of January 29, 2026, by and between Aprea</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 and the purchasers named therein (incorporated by reference to Exhibit 10.2 to the</w:t>
            </w:r>
          </w:p>
        </w:tc>
      </w:tr>
      <w:tr>
        <w:trPr>
          <w:trHeight w:val="267"/>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January 29, 2026)</w:t>
            </w:r>
          </w:p>
        </w:tc>
      </w:tr>
    </w:tbl>
    <w:p>
      <w:pPr>
        <w:spacing w:after="0" w:line="193" w:lineRule="exact"/>
        <w:rPr>
          <w:sz w:val="20"/>
          <w:szCs w:val="20"/>
          <w:color w:val="auto"/>
        </w:rPr>
      </w:pPr>
    </w:p>
    <w:p>
      <w:pPr>
        <w:ind w:left="1260" w:right="220" w:hanging="866"/>
        <w:spacing w:after="0" w:line="278" w:lineRule="auto"/>
        <w:tabs>
          <w:tab w:leader="none" w:pos="12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Aprea Therapeutics, Inc. Insider Trading Policy (incorporated by reference to Exhibit 19 to the Annual Report on Form 10-K filed on March 26, 2024)</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21.1</w:t>
            </w: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Subsidiaries of Aprea Therapeutics, Inc. (incorporated by reference to Exhibit 21.1 to the Annual Report</w:t>
            </w:r>
          </w:p>
        </w:tc>
      </w:tr>
      <w:tr>
        <w:trPr>
          <w:trHeight w:val="267"/>
        </w:trPr>
        <w:tc>
          <w:tcPr>
            <w:tcW w:w="800" w:type="dxa"/>
            <w:vAlign w:val="bottom"/>
          </w:tcPr>
          <w:p>
            <w:pPr>
              <w:spacing w:after="0"/>
              <w:rPr>
                <w:sz w:val="23"/>
                <w:szCs w:val="23"/>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on Form 10-K filed on March 26, 2024)</w:t>
            </w:r>
          </w:p>
        </w:tc>
      </w:tr>
      <w:tr>
        <w:trPr>
          <w:trHeight w:val="460"/>
        </w:trPr>
        <w:tc>
          <w:tcPr>
            <w:tcW w:w="8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23.1*</w:t>
            </w: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423"/>
        </w:trPr>
        <w:tc>
          <w:tcPr>
            <w:tcW w:w="8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31.1*</w:t>
            </w: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 13a-14(a) or Rule 15d-14(a) of the</w:t>
            </w:r>
          </w:p>
        </w:tc>
      </w:tr>
      <w:tr>
        <w:trPr>
          <w:trHeight w:val="267"/>
        </w:trPr>
        <w:tc>
          <w:tcPr>
            <w:tcW w:w="800" w:type="dxa"/>
            <w:vAlign w:val="bottom"/>
          </w:tcPr>
          <w:p>
            <w:pPr>
              <w:spacing w:after="0"/>
              <w:rPr>
                <w:sz w:val="23"/>
                <w:szCs w:val="23"/>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Securities Exchange Act of 1934, as adopted pursuant to Section 302 of the Sarbanes-Oxley Act of 2002.</w:t>
            </w:r>
          </w:p>
        </w:tc>
      </w:tr>
      <w:tr>
        <w:trPr>
          <w:trHeight w:val="423"/>
        </w:trPr>
        <w:tc>
          <w:tcPr>
            <w:tcW w:w="8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31.2*</w:t>
            </w: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 13a-14(a) or Rule 15d-14(a) of the</w:t>
            </w:r>
          </w:p>
        </w:tc>
      </w:tr>
      <w:tr>
        <w:trPr>
          <w:trHeight w:val="267"/>
        </w:trPr>
        <w:tc>
          <w:tcPr>
            <w:tcW w:w="800" w:type="dxa"/>
            <w:vAlign w:val="bottom"/>
          </w:tcPr>
          <w:p>
            <w:pPr>
              <w:spacing w:after="0"/>
              <w:rPr>
                <w:sz w:val="23"/>
                <w:szCs w:val="23"/>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Securities Exchange Act of 1934, as adopted pursuant to Section 302 of the Sarbanes-Oxley Act of 2002.</w:t>
            </w:r>
          </w:p>
        </w:tc>
      </w:tr>
      <w:tr>
        <w:trPr>
          <w:trHeight w:val="423"/>
        </w:trPr>
        <w:tc>
          <w:tcPr>
            <w:tcW w:w="8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8"/>
              </w:rPr>
              <w:t>32.1**</w:t>
            </w: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 to</w:t>
            </w:r>
          </w:p>
        </w:tc>
      </w:tr>
      <w:tr>
        <w:trPr>
          <w:trHeight w:val="267"/>
        </w:trPr>
        <w:tc>
          <w:tcPr>
            <w:tcW w:w="800" w:type="dxa"/>
            <w:vAlign w:val="bottom"/>
          </w:tcPr>
          <w:p>
            <w:pPr>
              <w:spacing w:after="0"/>
              <w:rPr>
                <w:sz w:val="23"/>
                <w:szCs w:val="23"/>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423"/>
        </w:trPr>
        <w:tc>
          <w:tcPr>
            <w:tcW w:w="80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8"/>
              </w:rPr>
              <w:t>32.2**</w:t>
            </w: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w:t>
            </w:r>
          </w:p>
        </w:tc>
      </w:tr>
      <w:tr>
        <w:trPr>
          <w:trHeight w:val="267"/>
        </w:trPr>
        <w:tc>
          <w:tcPr>
            <w:tcW w:w="800" w:type="dxa"/>
            <w:vAlign w:val="bottom"/>
          </w:tcPr>
          <w:p>
            <w:pPr>
              <w:spacing w:after="0"/>
              <w:rPr>
                <w:sz w:val="23"/>
                <w:szCs w:val="23"/>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bl>
    <w:p>
      <w:pPr>
        <w:spacing w:after="0" w:line="193" w:lineRule="exact"/>
        <w:rPr>
          <w:sz w:val="20"/>
          <w:szCs w:val="20"/>
          <w:color w:val="auto"/>
        </w:rPr>
      </w:pPr>
    </w:p>
    <w:p>
      <w:pPr>
        <w:ind w:left="1260" w:right="260" w:hanging="866"/>
        <w:spacing w:after="0" w:line="278" w:lineRule="auto"/>
        <w:tabs>
          <w:tab w:leader="none" w:pos="12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Aprea Therapeutics, Inc. Policy for Recovery of Erroneously Awarded Incentive Compensation (incorporated by reference to Exhibit 97 to the Annual Report on Form 10-K filed on March 26, 2024)</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4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101.INS</w:t>
            </w:r>
          </w:p>
        </w:tc>
        <w:tc>
          <w:tcPr>
            <w:tcW w:w="83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Inline XBRL Instance Document – the instance document does not appear in the Interactive Data File</w:t>
            </w:r>
          </w:p>
        </w:tc>
      </w:tr>
      <w:tr>
        <w:trPr>
          <w:trHeight w:val="267"/>
        </w:trPr>
        <w:tc>
          <w:tcPr>
            <w:tcW w:w="940" w:type="dxa"/>
            <w:vAlign w:val="bottom"/>
          </w:tcPr>
          <w:p>
            <w:pPr>
              <w:spacing w:after="0"/>
              <w:rPr>
                <w:sz w:val="23"/>
                <w:szCs w:val="23"/>
                <w:color w:val="auto"/>
              </w:rPr>
            </w:pPr>
          </w:p>
        </w:tc>
        <w:tc>
          <w:tcPr>
            <w:tcW w:w="8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460"/>
        </w:trPr>
        <w:tc>
          <w:tcPr>
            <w:tcW w:w="94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101.SCH</w:t>
            </w:r>
          </w:p>
        </w:tc>
        <w:tc>
          <w:tcPr>
            <w:tcW w:w="8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XBRL Taxonomy Extension Schema With Embedded Linkbase Documents</w:t>
            </w:r>
          </w:p>
        </w:tc>
      </w:tr>
    </w:tbl>
    <w:p>
      <w:pPr>
        <w:spacing w:after="0" w:line="193" w:lineRule="exact"/>
        <w:rPr>
          <w:sz w:val="20"/>
          <w:szCs w:val="20"/>
          <w:color w:val="auto"/>
        </w:rPr>
      </w:pPr>
    </w:p>
    <w:p>
      <w:pPr>
        <w:ind w:left="1260" w:right="680" w:hanging="917"/>
        <w:spacing w:after="0" w:line="278" w:lineRule="auto"/>
        <w:tabs>
          <w:tab w:leader="none" w:pos="126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158"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-171450</wp:posOffset>
                </wp:positionV>
                <wp:extent cx="154178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3.4999pt" to="121.65pt,-13.4999pt" o:allowincell="f" strokecolor="#000000" strokeweight="0.7799pt"/>
            </w:pict>
          </mc:Fallback>
        </mc:AlternateContent>
      </w:r>
    </w:p>
    <w:p>
      <w:pPr>
        <w:spacing w:after="0" w:line="219" w:lineRule="exact"/>
        <w:rPr>
          <w:sz w:val="20"/>
          <w:szCs w:val="20"/>
          <w:color w:val="auto"/>
        </w:rPr>
      </w:pPr>
    </w:p>
    <w:p>
      <w:pPr>
        <w:ind w:left="360" w:hanging="353"/>
        <w:spacing w:after="0"/>
        <w:tabs>
          <w:tab w:leader="none" w:pos="3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w:t>
      </w:r>
    </w:p>
    <w:p>
      <w:pPr>
        <w:spacing w:after="0" w:line="239" w:lineRule="exact"/>
        <w:rPr>
          <w:sz w:val="20"/>
          <w:szCs w:val="20"/>
          <w:color w:val="auto"/>
        </w:rPr>
      </w:pPr>
    </w:p>
    <w:p>
      <w:pPr>
        <w:ind w:left="360" w:right="260" w:hanging="353"/>
        <w:spacing w:after="0" w:line="253" w:lineRule="auto"/>
        <w:tabs>
          <w:tab w:leader="none" w:pos="3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omitted pursuant to Item 601(b)(2) of Regulation S-K. The Registrant agrees to furnish supplementally a copy of any omitted schedule to the SEC upon its request; provided, however, that the Registrant may request confidential treatment pursuant to Rule 24b-2 of the Exchange Act for any schedule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880" w:h="15480" w:orient="portrait"/>
          <w:cols w:equalWidth="0" w:num="1">
            <w:col w:w="9720"/>
          </w:cols>
          <w:pgMar w:left="1080" w:top="1087" w:right="1080" w:bottom="542" w:gutter="0" w:footer="0" w:header="0"/>
        </w:sectPr>
      </w:pPr>
    </w:p>
    <w:bookmarkStart w:id="152" w:name="page153"/>
    <w:bookmarkEnd w:id="152"/>
    <w:p>
      <w:pPr>
        <w:ind w:left="360" w:hanging="353"/>
        <w:spacing w:after="0" w:line="259" w:lineRule="auto"/>
        <w:tabs>
          <w:tab w:leader="none" w:pos="3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furnished in Exhibit 32.1 and Exhibit 32.2 hereto are deemed to accompany this Annual Report and will not be deemed “filed” for purposes of Section 18 of the Securities Exchange Act of 1934, as amended, except to the extent that the registrant specifically incorporates it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460"/>
          </w:cols>
          <w:pgMar w:left="1080" w:top="1066" w:right="13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133</w:t>
      </w:r>
    </w:p>
    <w:p>
      <w:pPr>
        <w:sectPr>
          <w:pgSz w:w="11880" w:h="15480" w:orient="portrait"/>
          <w:cols w:equalWidth="0" w:num="1">
            <w:col w:w="9460"/>
          </w:cols>
          <w:pgMar w:left="1080" w:top="1066" w:right="1340" w:bottom="542"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16, 2026.</w:t>
      </w:r>
    </w:p>
    <w:p>
      <w:pPr>
        <w:spacing w:after="0" w:line="1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APREA THERAPEUTICS, INC.</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OREN GILAD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3267710</wp:posOffset>
                </wp:positionH>
                <wp:positionV relativeFrom="paragraph">
                  <wp:posOffset>14605</wp:posOffset>
                </wp:positionV>
                <wp:extent cx="289941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94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3pt,1.15pt" to="485.6pt,1.15pt" o:allowincell="f" strokecolor="#000000" strokeweight="0.4799pt"/>
            </w:pict>
          </mc:Fallback>
        </mc:AlternateContent>
      </w:r>
    </w:p>
    <w:p>
      <w:pPr>
        <w:spacing w:after="0" w:line="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Oren Gilad, Ph.D.</w:t>
      </w:r>
    </w:p>
    <w:p>
      <w:pPr>
        <w:spacing w:after="0" w:line="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3"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Oren Gilad and John Hamill, as his or her attorney-in-fact, with the power of substitution, for each of them in any and all capacities, to sign any amendments to this Annual Report on Form 10-K, and to file the same, with exhibits thereto and other documents in connection therewith, with the SEC, hereby ratifying and confirming all that said attorney-in-facts, or their substitutes, may do or cause to be done by virtue hereof.</w:t>
      </w:r>
    </w:p>
    <w:p>
      <w:pPr>
        <w:spacing w:after="0" w:line="16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880" w:h="15480" w:orient="portrait"/>
          <w:cols w:equalWidth="0" w:num="1">
            <w:col w:w="9720"/>
          </w:cols>
          <w:pgMar w:left="1080" w:top="1296" w:right="1080" w:bottom="542" w:gutter="0" w:footer="0" w:header="0"/>
        </w:sectPr>
      </w:pPr>
    </w:p>
    <w:bookmarkStart w:id="154" w:name="page155"/>
    <w:bookmarkEnd w:id="154"/>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 OREN GILAD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13970</wp:posOffset>
                </wp:positionV>
                <wp:extent cx="228536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pt" to="162.35pt,1.1pt" o:allowincell="f" strokecolor="#000000" strokeweight="0.4799pt"/>
            </w:pict>
          </mc:Fallback>
        </mc:AlternateConten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Oren Gilad, Ph.D.</w:t>
      </w:r>
    </w:p>
    <w:p>
      <w:pPr>
        <w:spacing w:after="0" w:line="289"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JOHN P. HAMILL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13970</wp:posOffset>
                </wp:positionV>
                <wp:extent cx="228536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pt" to="162.35pt,1.1pt" o:allowincell="f" strokecolor="#000000" strokeweight="0.4799pt"/>
            </w:pict>
          </mc:Fallback>
        </mc:AlternateContent>
      </w:r>
    </w:p>
    <w:p>
      <w:pPr>
        <w:spacing w:after="0" w:line="3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John P. Hamill</w:t>
      </w:r>
    </w:p>
    <w:p>
      <w:pPr>
        <w:spacing w:after="0" w:line="28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JEAN-PIERRE BIZZARI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14605</wp:posOffset>
                </wp:positionV>
                <wp:extent cx="228536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5pt" to="162.35pt,1.15pt" o:allowincell="f" strokecolor="#000000" strokeweight="0.4799pt"/>
            </w:pict>
          </mc:Fallback>
        </mc:AlternateContent>
      </w:r>
    </w:p>
    <w:p>
      <w:pPr>
        <w:spacing w:after="0" w:line="3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Jean-Pierre Bizzari, M.D.</w:t>
      </w:r>
    </w:p>
    <w:p>
      <w:pPr>
        <w:spacing w:after="0" w:line="29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MARC DUEY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13970</wp:posOffset>
                </wp:positionV>
                <wp:extent cx="228536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pt" to="162.35pt,1.1pt" o:allowincell="f" strokecolor="#000000" strokeweight="0.4799pt"/>
            </w:pict>
          </mc:Fallback>
        </mc:AlternateContent>
      </w:r>
    </w:p>
    <w:p>
      <w:pPr>
        <w:spacing w:after="0" w:line="3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Marc Duey</w:t>
      </w:r>
    </w:p>
    <w:p>
      <w:pPr>
        <w:spacing w:after="0" w:line="28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MICHAEL GRISSINGER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14605</wp:posOffset>
                </wp:positionV>
                <wp:extent cx="228536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5pt" to="162.35pt,1.15pt" o:allowincell="f" strokecolor="#000000" strokeweight="0.48pt"/>
            </w:pict>
          </mc:Fallback>
        </mc:AlternateContent>
      </w:r>
    </w:p>
    <w:p>
      <w:pPr>
        <w:spacing w:after="0" w:line="3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Michael Grissinger</w:t>
      </w:r>
    </w:p>
    <w:p>
      <w:pPr>
        <w:spacing w:after="0" w:line="289"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GABRIELA GRUIA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13970</wp:posOffset>
                </wp:positionV>
                <wp:extent cx="22853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pt" to="162.35pt,1.1pt" o:allowincell="f" strokecolor="#000000" strokeweight="0.48pt"/>
            </w:pict>
          </mc:Fallback>
        </mc:AlternateContent>
      </w:r>
    </w:p>
    <w:p>
      <w:pPr>
        <w:spacing w:after="0" w:line="3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Gabriela Gruia, M.D.</w:t>
      </w:r>
    </w:p>
    <w:p>
      <w:pPr>
        <w:spacing w:after="0" w:line="289"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JOHN B. HENNEMAN,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14605</wp:posOffset>
                </wp:positionV>
                <wp:extent cx="228536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5pt" to="162.35pt,1.15pt" o:allowincell="f" strokecolor="#000000" strokeweight="0.4799pt"/>
            </w:pict>
          </mc:Fallback>
        </mc:AlternateContent>
      </w:r>
    </w:p>
    <w:p>
      <w:pPr>
        <w:spacing w:after="0" w:line="3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John B. Henneman, III.</w:t>
      </w:r>
    </w:p>
    <w:p>
      <w:pPr>
        <w:spacing w:after="0" w:line="289"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RIFAT PAMUKCU.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13970</wp:posOffset>
                </wp:positionV>
                <wp:extent cx="22853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pt" to="162.35pt,1.1pt" o:allowincell="f" strokecolor="#000000" strokeweight="0.4799pt"/>
            </w:pict>
          </mc:Fallback>
        </mc:AlternateContent>
      </w:r>
    </w:p>
    <w:p>
      <w:pPr>
        <w:spacing w:after="0" w:line="3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Rifat Pamukcu, M.D.</w:t>
      </w:r>
    </w:p>
    <w:p>
      <w:pPr>
        <w:spacing w:after="0" w:line="289"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RICHARD PETERS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13970</wp:posOffset>
                </wp:positionV>
                <wp:extent cx="228536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pt" to="162.35pt,1.1pt" o:allowincell="f" strokecolor="#000000" strokeweight="0.48pt"/>
            </w:pict>
          </mc:Fallback>
        </mc:AlternateContent>
      </w:r>
    </w:p>
    <w:p>
      <w:pPr>
        <w:spacing w:after="0" w:line="3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Richard Peters, M.D., Ph.D.</w:t>
      </w:r>
    </w:p>
    <w:p>
      <w:pPr>
        <w:spacing w:after="0" w:line="28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 BERND R. SEIZINGER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-223520</wp:posOffset>
                </wp:positionH>
                <wp:positionV relativeFrom="paragraph">
                  <wp:posOffset>14605</wp:posOffset>
                </wp:positionV>
                <wp:extent cx="228536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53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99pt,1.15pt" to="162.35pt,1.15pt" o:allowincell="f" strokecolor="#000000" strokeweight="0.48pt"/>
            </w:pict>
          </mc:Fallback>
        </mc:AlternateContent>
      </w:r>
    </w:p>
    <w:p>
      <w:pPr>
        <w:spacing w:after="0" w:line="3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7"/>
          <w:szCs w:val="17"/>
          <w:color w:val="auto"/>
        </w:rPr>
        <w:t>Bernd R. Seizinger, M.D., Ph.D.</w:t>
      </w:r>
    </w:p>
    <w:p>
      <w:pPr>
        <w:spacing w:after="0" w:line="20" w:lineRule="exact"/>
        <w:rPr>
          <w:sz w:val="20"/>
          <w:szCs w:val="20"/>
          <w:color w:val="auto"/>
        </w:rPr>
      </w:pPr>
      <w:r>
        <w:rPr>
          <w:sz w:val="20"/>
          <w:szCs w:val="20"/>
          <w:color w:val="auto"/>
        </w:rPr>
        <w:br w:type="column"/>
      </w:r>
    </w:p>
    <w:p>
      <w:pPr>
        <w:ind w:left="17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55"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Chief Executive Officer and President (Principal Executive Officer)</w:t>
      </w:r>
    </w:p>
    <w:p>
      <w:pPr>
        <w:spacing w:after="0" w:line="27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348" w:lineRule="exact"/>
        <w:rPr>
          <w:sz w:val="20"/>
          <w:szCs w:val="20"/>
          <w:color w:val="auto"/>
        </w:rPr>
      </w:pPr>
    </w:p>
    <w:p>
      <w:pPr>
        <w:sectPr>
          <w:pgSz w:w="11880" w:h="15480" w:orient="portrait"/>
          <w:cols w:equalWidth="0" w:num="3">
            <w:col w:w="2800" w:space="720"/>
            <w:col w:w="3700" w:space="720"/>
            <w:col w:w="1140"/>
          </w:cols>
          <w:pgMar w:left="1440" w:top="1066" w:right="136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135</w:t>
      </w:r>
    </w:p>
    <w:sectPr>
      <w:pgSz w:w="11880" w:h="15480" w:orient="portrait"/>
      <w:cols w:equalWidth="0" w:num="1">
        <w:col w:w="9080"/>
      </w:cols>
      <w:pgMar w:left="1440" w:top="1066" w:right="1360" w:bottom="5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Wingdings">
    <w:panose1 w:val="05000000000000000000"/>
    <w:charset w:val="00"/>
    <w:family w:val="auto"/>
    <w:pitch w:val="variable"/>
    <w:sig w:usb0="00000000" w:usb1="00000000" w:usb2="00000000" w:usb3="00000000" w:csb0="80000000" w:csb1="00000000"/>
  </w:font>
  <w:font w:name="Symbol">
    <w:panose1 w:val="05050102010706020507"/>
    <w:charset w:val="00"/>
    <w:family w:val="auto"/>
    <w:pitch w:val="variable"/>
    <w:sig w:usb0="00000000" w:usb1="00000000" w:usb2="00000000" w:usb3="00000000" w:csb0="80000000" w:csb1="0000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lowerRoman"/>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lowerRoman"/>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decimal"/>
      <w:start w:val="2"/>
    </w:lvl>
  </w:abstractNum>
  <w:abstractNum w:abstractNumId="75">
    <w:nsid w:val="1A32234B"/>
    <w:multiLevelType w:val="hybridMultilevel"/>
    <w:lvl w:ilvl="0">
      <w:lvlJc w:val="left"/>
      <w:lvlText w:val="(%1)"/>
      <w:numFmt w:val="decimal"/>
      <w:start w:val="3"/>
    </w:lvl>
  </w:abstractNum>
  <w:abstractNum w:abstractNumId="76">
    <w:nsid w:val="3B0FD379"/>
    <w:multiLevelType w:val="hybridMultilevel"/>
    <w:lvl w:ilvl="0">
      <w:lvlJc w:val="left"/>
      <w:lvlText w:val="%1"/>
      <w:numFmt w:val="decimal"/>
      <w:start w:val="19"/>
    </w:lvl>
  </w:abstractNum>
  <w:abstractNum w:abstractNumId="77">
    <w:nsid w:val="68EB2F63"/>
    <w:multiLevelType w:val="hybridMultilevel"/>
    <w:lvl w:ilvl="0">
      <w:lvlJc w:val="left"/>
      <w:lvlText w:val="%1"/>
      <w:numFmt w:val="decimal"/>
      <w:start w:val="97"/>
    </w:lvl>
  </w:abstractNum>
  <w:abstractNum w:abstractNumId="78">
    <w:nsid w:val="4962813B"/>
    <w:multiLevelType w:val="hybridMultilevel"/>
    <w:lvl w:ilvl="0">
      <w:lvlJc w:val="left"/>
      <w:lvlText w:val="*"/>
      <w:numFmt w:val="bullet"/>
      <w:start w:val="1"/>
    </w:lvl>
    <w:lvl w:ilvl="1">
      <w:lvlJc w:val="left"/>
      <w:lvlText w:val="%2"/>
      <w:numFmt w:val="decimal"/>
      <w:start w:val="104"/>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2026-04-30T05:46:47Z</dcterms:created>
  <dcterms:modified xsi:type="dcterms:W3CDTF">2026-04-30T05:46:47Z</dcterms:modified>
</cp:coreProperties>
</file>