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pre-20260630x10q.htm"/>
        <w:bookmarkStart w:id="1" w:name="ksapr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bookmarkStart w:id="2" w:name="_fa509d6c_5617_4001_9abb_781051f4cb01"/>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b/>
          <w:sz w:val="20"/>
        </w:rPr>
        <w:t>For the transition period from                        to     </w:t>
      </w:r>
      <w:r>
        <w:rPr>
          <w:rFonts w:ascii="Times New Roman;Times;serif" w:hAnsi="Times New Roman;Times;serif"/>
          <w:sz w:val="10"/>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001-39069</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Aprea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HYMtBn8jwkyVsXxfiYIbrg_6_1"/>
      <w:bookmarkStart w:id="4" w:name="Tc_hBdPRxMVg0yKjHis7OWRbg_6_0"/>
      <w:bookmarkStart w:id="5" w:name="Tc_bSwea22qOEeV1-4mLgPTeQ_5_0"/>
      <w:bookmarkStart w:id="6" w:name="Tc_d92qos5wTkyAP8qlNp6N4g_2_1"/>
      <w:bookmarkStart w:id="7" w:name="Tc_eCBVPz1lK0C8cUY23NqCQw_2_0"/>
      <w:bookmarkStart w:id="8" w:name="_92220628_6373_4a36_bcb6_b2cb3c249e79"/>
      <w:bookmarkStart w:id="9" w:name="Tc_HYMtBn8jwkyVsXxfiYIbrg_6_1"/>
      <w:bookmarkStart w:id="10" w:name="Tc_hBdPRxMVg0yKjHis7OWRbg_6_0"/>
      <w:bookmarkStart w:id="11" w:name="Tc_bSwea22qOEeV1-4mLgPTeQ_5_0"/>
      <w:bookmarkStart w:id="12" w:name="Tc_d92qos5wTkyAP8qlNp6N4g_2_1"/>
      <w:bookmarkStart w:id="13" w:name="Tc_eCBVPz1lK0C8cUY23NqCQw_2_0"/>
      <w:bookmarkStart w:id="14" w:name="_92220628_6373_4a36_bcb6_b2cb3c249e79"/>
      <w:bookmarkEnd w:id="9"/>
      <w:bookmarkEnd w:id="10"/>
      <w:bookmarkEnd w:id="11"/>
      <w:bookmarkEnd w:id="12"/>
      <w:bookmarkEnd w:id="13"/>
      <w:bookmarkEnd w:id="14"/>
    </w:p>
    <w:tbl>
      <w:tblPr>
        <w:tblW w:w="7037" w:type="dxa"/>
        <w:jc w:val="left"/>
        <w:tblInd w:w="0" w:type="dxa"/>
        <w:tblLayout w:type="fixed"/>
        <w:tblCellMar>
          <w:top w:w="0" w:type="dxa"/>
          <w:left w:w="0" w:type="dxa"/>
          <w:bottom w:w="0" w:type="dxa"/>
          <w:right w:w="0" w:type="dxa"/>
        </w:tblCellMar>
      </w:tblPr>
      <w:tblGrid>
        <w:gridCol w:w="4321"/>
        <w:gridCol w:w="271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84-2246769</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321"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3805 Old Easton Road</w:t>
            </w:r>
          </w:p>
        </w:tc>
        <w:tc>
          <w:tcPr>
            <w:tcW w:w="271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Doylestown, Pennsylvania</w:t>
            </w:r>
            <w:r>
              <w:rPr>
                <w:rFonts w:ascii="Times New Roman;Times;serif" w:hAnsi="Times New Roman;Times;serif"/>
                <w:sz w:val="20"/>
              </w:rPr>
              <w:t xml:space="preserve">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18902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(215) 948-4119</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Securities registered pursuant to Section 12(b) of the Act: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zN110RtVFkG8OoYe1yze6Q_1_4"/>
      <w:bookmarkStart w:id="16" w:name="Tc_aVUTqI6JZEmDDW2OCbFLvg_0_4"/>
      <w:bookmarkStart w:id="17" w:name="Tc_HK_UMrxr3EOpmNFOUN4Yfw_0_2"/>
      <w:bookmarkStart w:id="18" w:name="Tc_1ARJuR-k5kSokxjVtHRHOQ_0_0"/>
      <w:bookmarkStart w:id="19" w:name="_305fe040_d707_41e3_b170_24d9f468bc1f"/>
      <w:bookmarkStart w:id="20" w:name="Tc_zN110RtVFkG8OoYe1yze6Q_1_4"/>
      <w:bookmarkStart w:id="21" w:name="Tc_aVUTqI6JZEmDDW2OCbFLvg_0_4"/>
      <w:bookmarkStart w:id="22" w:name="Tc_HK_UMrxr3EOpmNFOUN4Yfw_0_2"/>
      <w:bookmarkStart w:id="23" w:name="Tc_1ARJuR-k5kSokxjVtHRHOQ_0_0"/>
      <w:bookmarkStart w:id="24" w:name="_305fe040_d707_41e3_b170_24d9f468bc1f"/>
      <w:bookmarkEnd w:id="20"/>
      <w:bookmarkEnd w:id="21"/>
      <w:bookmarkEnd w:id="22"/>
      <w:bookmarkEnd w:id="23"/>
      <w:bookmarkEnd w:id="24"/>
    </w:p>
    <w:tbl>
      <w:tblPr>
        <w:tblW w:w="8180" w:type="dxa"/>
        <w:jc w:val="left"/>
        <w:tblInd w:w="0" w:type="dxa"/>
        <w:tblLayout w:type="fixed"/>
        <w:tblCellMar>
          <w:top w:w="0" w:type="dxa"/>
          <w:left w:w="0" w:type="dxa"/>
          <w:bottom w:w="28" w:type="dxa"/>
          <w:right w:w="0" w:type="dxa"/>
        </w:tblCellMar>
      </w:tblPr>
      <w:tblGrid>
        <w:gridCol w:w="3121"/>
        <w:gridCol w:w="346"/>
        <w:gridCol w:w="1321"/>
        <w:gridCol w:w="346"/>
        <w:gridCol w:w="3046"/>
      </w:tblGrid>
      <w:tr>
        <w:trPr/>
        <w:tc>
          <w:tcPr>
            <w:tcW w:w="31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Title of each class </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3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 </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04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Name of exchange on which registered: </w:t>
            </w:r>
          </w:p>
        </w:tc>
      </w:tr>
      <w:tr>
        <w:trPr/>
        <w:tc>
          <w:tcPr>
            <w:tcW w:w="3121" w:type="dxa"/>
            <w:tcBorders/>
            <w:tcMar>
              <w:bottom w:w="0" w:type="dxa"/>
            </w:tcMar>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346" w:type="dxa"/>
            <w:tcBorders/>
            <w:tcMar>
              <w:bottom w:w="0" w:type="dxa"/>
            </w:tcMar>
            <w:vAlign w:val="center"/>
          </w:tcPr>
          <w:p>
            <w:pPr>
              <w:pStyle w:val="TableContents"/>
              <w:bidi w:val="0"/>
              <w:spacing w:before="0" w:after="80"/>
              <w:ind w:left="0" w:right="0" w:hanging="0"/>
              <w:jc w:val="center"/>
              <w:rPr/>
            </w:pPr>
            <w:r>
              <w:rPr/>
              <w:t>​</w:t>
            </w:r>
          </w:p>
        </w:tc>
        <w:tc>
          <w:tcPr>
            <w:tcW w:w="1321" w:type="dxa"/>
            <w:tcBorders/>
            <w:tcMar>
              <w:bottom w:w="0" w:type="dxa"/>
            </w:tcMar>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APRE</w:t>
            </w:r>
          </w:p>
        </w:tc>
        <w:tc>
          <w:tcPr>
            <w:tcW w:w="346" w:type="dxa"/>
            <w:tcBorders/>
            <w:tcMar>
              <w:bottom w:w="0" w:type="dxa"/>
            </w:tcMar>
            <w:vAlign w:val="center"/>
          </w:tcPr>
          <w:p>
            <w:pPr>
              <w:pStyle w:val="TableContents"/>
              <w:bidi w:val="0"/>
              <w:spacing w:before="0" w:after="80"/>
              <w:ind w:left="0" w:right="0" w:hanging="0"/>
              <w:jc w:val="center"/>
              <w:rPr/>
            </w:pPr>
            <w:r>
              <w:rPr/>
              <w:t>​</w:t>
            </w:r>
          </w:p>
        </w:tc>
        <w:tc>
          <w:tcPr>
            <w:tcW w:w="3046" w:type="dxa"/>
            <w:tcBorders/>
            <w:tcMar>
              <w:bottom w:w="0" w:type="dxa"/>
            </w:tcMar>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503" w:type="dxa"/>
        <w:jc w:val="left"/>
        <w:tblInd w:w="0" w:type="dxa"/>
        <w:tblLayout w:type="fixed"/>
        <w:tblCellMar>
          <w:top w:w="0" w:type="dxa"/>
          <w:left w:w="0" w:type="dxa"/>
          <w:bottom w:w="0" w:type="dxa"/>
          <w:right w:w="0" w:type="dxa"/>
        </w:tblCellMar>
      </w:tblPr>
      <w:tblGrid>
        <w:gridCol w:w="1861"/>
        <w:gridCol w:w="346"/>
        <w:gridCol w:w="2296"/>
      </w:tblGrid>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346" w:type="dxa"/>
            <w:tcBorders/>
            <w:vAlign w:val="center"/>
          </w:tcPr>
          <w:p>
            <w:pPr>
              <w:pStyle w:val="TableContents"/>
              <w:pBdr/>
              <w:bidi w:val="0"/>
              <w:spacing w:before="0" w:after="0"/>
              <w:ind w:left="0" w:right="0" w:hanging="0"/>
              <w:jc w:val="left"/>
              <w:rPr/>
            </w:pPr>
            <w:r>
              <w:rPr/>
              <w:t>  ​ ​ ​</w:t>
            </w:r>
          </w:p>
        </w:tc>
        <w:tc>
          <w:tcPr>
            <w:tcW w:w="229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pBdr/>
              <w:bidi w:val="0"/>
              <w:spacing w:before="0" w:after="0"/>
              <w:ind w:left="0" w:right="0" w:hanging="0"/>
              <w:jc w:val="left"/>
              <w:rPr/>
            </w:pPr>
            <w:r>
              <w:rPr/>
              <w:t> </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346" w:type="dxa"/>
            <w:tcBorders/>
            <w:vAlign w:val="center"/>
          </w:tcPr>
          <w:p>
            <w:pPr>
              <w:pStyle w:val="TableContents"/>
              <w:pBdr/>
              <w:bidi w:val="0"/>
              <w:spacing w:before="0" w:after="0"/>
              <w:ind w:left="0" w:right="0" w:hanging="0"/>
              <w:jc w:val="left"/>
              <w:rPr/>
            </w:pPr>
            <w:r>
              <w:rPr/>
              <w:t> </w:t>
            </w:r>
          </w:p>
        </w:tc>
        <w:tc>
          <w:tcPr>
            <w:tcW w:w="229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pBdr/>
              <w:bidi w:val="0"/>
              <w:spacing w:before="0" w:after="0"/>
              <w:ind w:left="0" w:right="0" w:hanging="0"/>
              <w:jc w:val="left"/>
              <w:rPr/>
            </w:pPr>
            <w:r>
              <w:rPr/>
              <w:t> </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pBdr/>
              <w:bidi w:val="0"/>
              <w:spacing w:before="0" w:after="0"/>
              <w:ind w:left="0" w:right="0" w:hanging="0"/>
              <w:jc w:val="left"/>
              <w:rPr/>
            </w:pPr>
            <w:r>
              <w:rPr/>
              <w:t> </w:t>
            </w:r>
          </w:p>
        </w:tc>
        <w:tc>
          <w:tcPr>
            <w:tcW w:w="2296" w:type="dxa"/>
            <w:tcBorders/>
            <w:vAlign w:val="center"/>
          </w:tcPr>
          <w:p>
            <w:pPr>
              <w:pStyle w:val="TableContents"/>
              <w:pBdr/>
              <w:bidi w:val="0"/>
              <w:spacing w:before="0" w:after="0"/>
              <w:ind w:left="0" w:right="0" w:hanging="72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There were 12,591,136 shares of the registrant’s common stock, $0.001 par value, outstanding as of August 12, 2026.</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_d2d095e9_9fed_4f81_b695_65e5ef7fd52a"/>
      <w:bookmarkStart w:id="26" w:name="TOC"/>
      <w:bookmarkEnd w:id="25"/>
      <w:bookmarkEnd w:id="26"/>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0"/>
        <w:ind w:left="0" w:right="0" w:hanging="0"/>
        <w:jc w:val="left"/>
        <w:rPr/>
      </w:pPr>
      <w:r>
        <w:rPr/>
        <w:t>​</w:t>
      </w:r>
    </w:p>
    <w:tbl>
      <w:tblPr>
        <w:tblW w:w="8342" w:type="dxa"/>
        <w:jc w:val="left"/>
        <w:tblInd w:w="0" w:type="dxa"/>
        <w:tblLayout w:type="fixed"/>
        <w:tblCellMar>
          <w:top w:w="0" w:type="dxa"/>
          <w:left w:w="0" w:type="dxa"/>
          <w:bottom w:w="0" w:type="dxa"/>
          <w:right w:w="0" w:type="dxa"/>
        </w:tblCellMar>
      </w:tblPr>
      <w:tblGrid>
        <w:gridCol w:w="7981"/>
        <w:gridCol w:w="361"/>
      </w:tblGrid>
      <w:tr>
        <w:trPr/>
        <w:tc>
          <w:tcPr>
            <w:tcW w:w="7981" w:type="dxa"/>
            <w:tcBorders/>
            <w:vAlign w:val="center"/>
          </w:tcPr>
          <w:p>
            <w:pPr>
              <w:pStyle w:val="TableContents"/>
              <w:bidi w:val="0"/>
              <w:spacing w:before="0" w:after="0"/>
              <w:ind w:left="0" w:right="0" w:hanging="0"/>
              <w:jc w:val="left"/>
              <w:rPr/>
            </w:pPr>
            <w:hyperlink w:anchor="PartIFinancialInformation_655269">
              <w:r>
                <w:rPr>
                  <w:rStyle w:val="InternetLink"/>
                  <w:rFonts w:ascii="Times New Roman;Times;serif" w:hAnsi="Times New Roman;Times;serif"/>
                  <w:b w:val="false"/>
                  <w:i w:val="false"/>
                  <w:caps w:val="false"/>
                  <w:smallCaps w:val="false"/>
                  <w:sz w:val="20"/>
                </w:rPr>
                <w:t>PART I</w:t>
              </w:r>
            </w:hyperlink>
            <w:hyperlink w:anchor="PartIFinancialInformation_655269">
              <w:r>
                <w:rPr>
                  <w:rStyle w:val="InternetLink"/>
                  <w:rFonts w:ascii="Symbol" w:hAnsi="Symbol"/>
                  <w:b w:val="false"/>
                  <w:i w:val="false"/>
                  <w:caps w:val="false"/>
                  <w:smallCaps w:val="false"/>
                  <w:sz w:val="20"/>
                </w:rPr>
                <w:t>:</w:t>
              </w:r>
            </w:hyperlink>
            <w:hyperlink w:anchor="PartIFinancialInformation_655269">
              <w:r>
                <w:rPr>
                  <w:rStyle w:val="InternetLink"/>
                  <w:rFonts w:ascii="Times New Roman;Times;serif" w:hAnsi="Times New Roman;Times;serif"/>
                  <w:caps w:val="false"/>
                  <w:smallCaps w:val="false"/>
                  <w:sz w:val="20"/>
                </w:rPr>
                <w:t xml:space="preserve"> </w:t>
              </w:r>
            </w:hyperlink>
            <w:hyperlink w:anchor="PartIFinancialInformation_655269">
              <w:r>
                <w:rPr>
                  <w:rStyle w:val="InternetLink"/>
                  <w:rFonts w:ascii="Times New Roman;Times;serif" w:hAnsi="Times New Roman;Times;serif"/>
                  <w:b w:val="false"/>
                  <w:i w:val="false"/>
                  <w:caps w:val="false"/>
                  <w:smallCaps w:val="false"/>
                  <w:sz w:val="20"/>
                </w:rPr>
                <w:t>FINANCIAL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981" w:type="dxa"/>
            <w:tcBorders/>
            <w:vAlign w:val="center"/>
          </w:tcPr>
          <w:p>
            <w:pPr>
              <w:pStyle w:val="TableContents"/>
              <w:bidi w:val="0"/>
              <w:spacing w:before="0" w:after="0"/>
              <w:ind w:left="0" w:right="0" w:hanging="0"/>
              <w:jc w:val="left"/>
              <w:rPr/>
            </w:pPr>
            <w:hyperlink w:anchor="Item1FinancialStatements_974418">
              <w:r>
                <w:rPr>
                  <w:rStyle w:val="InternetLink"/>
                  <w:rFonts w:ascii="Times New Roman;Times;serif" w:hAnsi="Times New Roman;Times;serif"/>
                  <w:b w:val="false"/>
                  <w:i w:val="false"/>
                  <w:caps w:val="false"/>
                  <w:smallCaps w:val="false"/>
                  <w:sz w:val="20"/>
                </w:rPr>
                <w:t>Item 1.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98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9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81" w:type="dxa"/>
            <w:tcBorders/>
            <w:vAlign w:val="center"/>
          </w:tcPr>
          <w:p>
            <w:pPr>
              <w:pStyle w:val="TableContents"/>
              <w:bidi w:val="0"/>
              <w:spacing w:before="0" w:after="0"/>
              <w:ind w:left="0" w:right="0" w:hanging="0"/>
              <w:jc w:val="left"/>
              <w:rPr/>
            </w:pPr>
            <w:hyperlink w:anchor="Item4ControlsandProcedures_266">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907842">
              <w:r>
                <w:rPr>
                  <w:rStyle w:val="InternetLink"/>
                  <w:rFonts w:ascii="Times New Roman;Times;serif" w:hAnsi="Times New Roman;Times;serif"/>
                  <w:b w:val="false"/>
                  <w:i w:val="false"/>
                  <w:caps w:val="false"/>
                  <w:smallCaps w:val="false"/>
                  <w:sz w:val="20"/>
                </w:rPr>
                <w:t>PART II</w:t>
              </w:r>
            </w:hyperlink>
            <w:hyperlink w:anchor="PARTIIOTHERINFORMATION_907842">
              <w:r>
                <w:rPr>
                  <w:rStyle w:val="InternetLink"/>
                  <w:rFonts w:ascii="Symbol" w:hAnsi="Symbol"/>
                  <w:b w:val="false"/>
                  <w:i w:val="false"/>
                  <w:caps w:val="false"/>
                  <w:smallCaps w:val="false"/>
                  <w:sz w:val="20"/>
                </w:rPr>
                <w:t>:</w:t>
              </w:r>
            </w:hyperlink>
            <w:hyperlink w:anchor="PARTIIOTHERINFORMATION_907842">
              <w:r>
                <w:rPr>
                  <w:rStyle w:val="InternetLink"/>
                  <w:rFonts w:ascii="Times New Roman;Times;serif" w:hAnsi="Times New Roman;Times;serif"/>
                  <w:caps w:val="false"/>
                  <w:smallCaps w:val="false"/>
                  <w:sz w:val="20"/>
                </w:rPr>
                <w:t xml:space="preserve"> </w:t>
              </w:r>
            </w:hyperlink>
            <w:hyperlink w:anchor="PARTIIOTHERINFORMATION_907842">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0"/>
              <w:ind w:left="0" w:right="0" w:hanging="0"/>
              <w:jc w:val="left"/>
              <w:rPr/>
            </w:pPr>
            <w:hyperlink w:anchor="Item1LegalProceedings_809320">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981" w:type="dxa"/>
            <w:tcBorders/>
            <w:vAlign w:val="center"/>
          </w:tcPr>
          <w:p>
            <w:pPr>
              <w:pStyle w:val="TableContents"/>
              <w:bidi w:val="0"/>
              <w:spacing w:before="0" w:after="0"/>
              <w:ind w:left="0" w:right="0" w:hanging="0"/>
              <w:jc w:val="left"/>
              <w:rPr/>
            </w:pPr>
            <w:hyperlink w:anchor="Item3DefaultsUponSeniorSecurities_753349">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981" w:type="dxa"/>
            <w:tcBorders/>
            <w:vAlign w:val="center"/>
          </w:tcPr>
          <w:p>
            <w:pPr>
              <w:pStyle w:val="TableContents"/>
              <w:bidi w:val="0"/>
              <w:spacing w:before="0" w:after="0"/>
              <w:ind w:left="0" w:right="0" w:hanging="0"/>
              <w:jc w:val="left"/>
              <w:rPr/>
            </w:pPr>
            <w:hyperlink w:anchor="Item4MineSafetyDisclosures_869418">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981" w:type="dxa"/>
            <w:tcBorders/>
            <w:vAlign w:val="center"/>
          </w:tcPr>
          <w:p>
            <w:pPr>
              <w:pStyle w:val="TableContents"/>
              <w:bidi w:val="0"/>
              <w:spacing w:before="0" w:after="0"/>
              <w:ind w:left="0" w:right="0" w:hanging="0"/>
              <w:jc w:val="left"/>
              <w:rPr/>
            </w:pPr>
            <w:hyperlink w:anchor="Item5OtherInformation_682434">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981" w:type="dxa"/>
            <w:tcBorders/>
            <w:vAlign w:val="center"/>
          </w:tcPr>
          <w:p>
            <w:pPr>
              <w:pStyle w:val="TableContents"/>
              <w:bidi w:val="0"/>
              <w:spacing w:before="0" w:after="0"/>
              <w:ind w:left="0" w:right="0" w:hanging="0"/>
              <w:jc w:val="left"/>
              <w:rPr/>
            </w:pPr>
            <w:hyperlink w:anchor="Item6Exhibits_309671">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_d28cca6d_8f68_43ea_87c7_52e4ef9ff947"/>
      <w:bookmarkEnd w:id="27"/>
      <w:r>
        <w:rPr>
          <w:rFonts w:ascii="Times New Roman;Times;serif" w:hAnsi="Times New Roman;Times;serif"/>
          <w:b/>
          <w:sz w:val="20"/>
        </w:rPr>
        <w:t>SPECIAL NOTE REGARDING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Quarterly Report on Form 10-Q includes statements that are, or may be deemed, “forward-looking statements.” In some cases, these forward-looking statements can be identified by the use of forward-looking terminology, including the terms “believes,” “estimates,” “anticipates,” “expects,” “plans,” “intends,” “may,” “designed,” “would,” “could,” “might,” “will,” “should,” “approximately” or, in each case, their negative or other variations thereon or comparable terminology, although not all forward-looking statements contain these words. They appear in a number of places throughout this Quarterly Report on Form 10-Q and include statements regarding our current intentions, beliefs, projections, outlook, analyses or current expectations concerning, among other things, our ongoing and planned clinical trials, including for APR-1051, our ongoing and planned development, prospects for commercialization, and market uptake of our potential product candidates, the strength and breadth of our intellectual property, the timing of and our ability to make regulatory filings and obtain and maintain regulatory approvals for our product candidates, the legal and regulatory landscape affecting our business, the extent of clinical utility of our product candidates, particularly in specific patient populations, expectations regarding clinical trial data, our development and validation of manufacturing capabilities, our results of operations, financial condition, liquidity, prospects, growth and strategies, the length of time that we will be able to continue to fund our operating expenses and capital expenditures, our expected financing needs and sources of financing, the industry in which we operate and the trends that may affect the industry or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their nature, forward-looking statements involve risks and uncertainties because they relate to future events, competitive dynamics, and healthcare, regulatory and scientific developments and depend on economic circumstances that may or may not occur in the future or may occur on longer or shorter timelines than anticipated. We caution you that forward-looking statements are not guarantees, or predictive, of future performance and that our actual results of operations, financial condition and liquidity, and the development of the industry in which we operate may differ materially from the forward-looking statements contained in this Quarterly Report on Form 10-Q.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of the factors that we believe could cause actual results to differ from those anticipated or predicted include:</w:t>
      </w:r>
    </w:p>
    <w:tbl>
      <w:tblPr>
        <w:tblW w:w="7427" w:type="dxa"/>
        <w:jc w:val="left"/>
        <w:tblInd w:w="0" w:type="dxa"/>
        <w:tblLayout w:type="fixed"/>
        <w:tblCellMar>
          <w:top w:w="0" w:type="dxa"/>
          <w:left w:w="0" w:type="dxa"/>
          <w:bottom w:w="0" w:type="dxa"/>
          <w:right w:w="0" w:type="dxa"/>
        </w:tblCellMar>
      </w:tblPr>
      <w:tblGrid>
        <w:gridCol w:w="271"/>
        <w:gridCol w:w="7156"/>
      </w:tblGrid>
      <w:tr>
        <w:trPr/>
        <w:tc>
          <w:tcPr>
            <w:tcW w:w="271" w:type="dxa"/>
            <w:tcBorders/>
            <w:vAlign w:val="center"/>
          </w:tcPr>
          <w:p>
            <w:pPr>
              <w:pStyle w:val="TableContents"/>
              <w:bidi w:val="0"/>
              <w:spacing w:before="0" w:after="283"/>
              <w:jc w:val="left"/>
              <w:rPr/>
            </w:pPr>
            <w:r>
              <w:rPr/>
              <w:t>●</w:t>
            </w:r>
          </w:p>
        </w:tc>
        <w:tc>
          <w:tcPr>
            <w:tcW w:w="7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expenses, capital requirements and our needs for additional financing;</w:t>
            </w:r>
          </w:p>
        </w:tc>
      </w:tr>
    </w:tbl>
    <w:tbl>
      <w:tblPr>
        <w:tblW w:w="9287" w:type="dxa"/>
        <w:jc w:val="left"/>
        <w:tblInd w:w="0" w:type="dxa"/>
        <w:tblLayout w:type="fixed"/>
        <w:tblCellMar>
          <w:top w:w="0" w:type="dxa"/>
          <w:left w:w="0" w:type="dxa"/>
          <w:bottom w:w="0" w:type="dxa"/>
          <w:right w:w="0" w:type="dxa"/>
        </w:tblCellMar>
      </w:tblPr>
      <w:tblGrid>
        <w:gridCol w:w="271"/>
        <w:gridCol w:w="9016"/>
      </w:tblGrid>
      <w:tr>
        <w:trPr/>
        <w:tc>
          <w:tcPr>
            <w:tcW w:w="271" w:type="dxa"/>
            <w:tcBorders/>
            <w:vAlign w:val="center"/>
          </w:tcPr>
          <w:p>
            <w:pPr>
              <w:pStyle w:val="TableContents"/>
              <w:bidi w:val="0"/>
              <w:spacing w:before="0" w:after="283"/>
              <w:jc w:val="left"/>
              <w:rPr/>
            </w:pPr>
            <w:r>
              <w:rPr/>
              <w:t>●</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including delays in enrollment, patient follow-up and data collection of clinical trials;</w:t>
            </w:r>
          </w:p>
        </w:tc>
      </w:tr>
    </w:tbl>
    <w:tbl>
      <w:tblPr>
        <w:tblW w:w="6677" w:type="dxa"/>
        <w:jc w:val="left"/>
        <w:tblInd w:w="0" w:type="dxa"/>
        <w:tblLayout w:type="fixed"/>
        <w:tblCellMar>
          <w:top w:w="0" w:type="dxa"/>
          <w:left w:w="0" w:type="dxa"/>
          <w:bottom w:w="0" w:type="dxa"/>
          <w:right w:w="0" w:type="dxa"/>
        </w:tblCellMar>
      </w:tblPr>
      <w:tblGrid>
        <w:gridCol w:w="271"/>
        <w:gridCol w:w="6406"/>
      </w:tblGrid>
      <w:tr>
        <w:trPr/>
        <w:tc>
          <w:tcPr>
            <w:tcW w:w="271" w:type="dxa"/>
            <w:tcBorders/>
            <w:vAlign w:val="center"/>
          </w:tcPr>
          <w:p>
            <w:pPr>
              <w:pStyle w:val="TableContents"/>
              <w:bidi w:val="0"/>
              <w:spacing w:before="0" w:after="283"/>
              <w:jc w:val="left"/>
              <w:rPr/>
            </w:pPr>
            <w:r>
              <w:rPr/>
              <w:t>●</w:t>
            </w:r>
          </w:p>
        </w:tc>
        <w:tc>
          <w:tcPr>
            <w:tcW w:w="6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prospects of our product candidates, all of which are still in development;</w:t>
            </w:r>
          </w:p>
        </w:tc>
      </w:tr>
    </w:tbl>
    <w:tbl>
      <w:tblPr>
        <w:tblW w:w="8957" w:type="dxa"/>
        <w:jc w:val="left"/>
        <w:tblInd w:w="0" w:type="dxa"/>
        <w:tblLayout w:type="fixed"/>
        <w:tblCellMar>
          <w:top w:w="0" w:type="dxa"/>
          <w:left w:w="0" w:type="dxa"/>
          <w:bottom w:w="0" w:type="dxa"/>
          <w:right w:w="0" w:type="dxa"/>
        </w:tblCellMar>
      </w:tblPr>
      <w:tblGrid>
        <w:gridCol w:w="271"/>
        <w:gridCol w:w="8686"/>
      </w:tblGrid>
      <w:tr>
        <w:trPr/>
        <w:tc>
          <w:tcPr>
            <w:tcW w:w="271" w:type="dxa"/>
            <w:tcBorders/>
            <w:vAlign w:val="center"/>
          </w:tcPr>
          <w:p>
            <w:pPr>
              <w:pStyle w:val="TableContents"/>
              <w:bidi w:val="0"/>
              <w:spacing w:before="0" w:after="283"/>
              <w:jc w:val="left"/>
              <w:rPr/>
            </w:pPr>
            <w:r>
              <w:rPr/>
              <w:t>●</w:t>
            </w:r>
          </w:p>
        </w:tc>
        <w:tc>
          <w:tcPr>
            <w:tcW w:w="8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outcomes and results of ongoing or future preclinical studies and clinical trials of our product candidates;</w:t>
            </w:r>
          </w:p>
        </w:tc>
      </w:tr>
    </w:tbl>
    <w:tbl>
      <w:tblPr>
        <w:tblW w:w="9257" w:type="dxa"/>
        <w:jc w:val="left"/>
        <w:tblInd w:w="0" w:type="dxa"/>
        <w:tblLayout w:type="fixed"/>
        <w:tblCellMar>
          <w:top w:w="0" w:type="dxa"/>
          <w:left w:w="0" w:type="dxa"/>
          <w:bottom w:w="0" w:type="dxa"/>
          <w:right w:w="0" w:type="dxa"/>
        </w:tblCellMar>
      </w:tblPr>
      <w:tblGrid>
        <w:gridCol w:w="271"/>
        <w:gridCol w:w="8986"/>
      </w:tblGrid>
      <w:tr>
        <w:trPr/>
        <w:tc>
          <w:tcPr>
            <w:tcW w:w="271" w:type="dxa"/>
            <w:tcBorders/>
            <w:vAlign w:val="center"/>
          </w:tcPr>
          <w:p>
            <w:pPr>
              <w:pStyle w:val="TableContents"/>
              <w:bidi w:val="0"/>
              <w:spacing w:before="0" w:after="283"/>
              <w:jc w:val="left"/>
              <w:rPr/>
            </w:pPr>
            <w:r>
              <w:rPr/>
              <w:t>●</w:t>
            </w:r>
          </w:p>
        </w:tc>
        <w:tc>
          <w:tcPr>
            <w:tcW w:w="8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identify, discover or acquire additional suitable product candidates;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our ongoing and planned clinical trials, including the sample size, trial duration, endpoint definition, event rate assumptions and eligibility criteria;</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understanding of product candidates mechanisms of action and interpretation of preclinical and early clinical results from clinical development programs and our ability to predict clinical outcomes based on such preclinical and early clinical results;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enroll patients in clinical trials, to timely and successfully complete those trials and to receive necessary regulatory approvals;</w:t>
            </w:r>
          </w:p>
        </w:tc>
      </w:tr>
    </w:tbl>
    <w:tbl>
      <w:tblPr>
        <w:tblW w:w="7667" w:type="dxa"/>
        <w:jc w:val="left"/>
        <w:tblInd w:w="0" w:type="dxa"/>
        <w:tblLayout w:type="fixed"/>
        <w:tblCellMar>
          <w:top w:w="0" w:type="dxa"/>
          <w:left w:w="0" w:type="dxa"/>
          <w:bottom w:w="0" w:type="dxa"/>
          <w:right w:w="0" w:type="dxa"/>
        </w:tblCellMar>
      </w:tblPr>
      <w:tblGrid>
        <w:gridCol w:w="271"/>
        <w:gridCol w:w="7396"/>
      </w:tblGrid>
      <w:tr>
        <w:trPr/>
        <w:tc>
          <w:tcPr>
            <w:tcW w:w="271" w:type="dxa"/>
            <w:tcBorders/>
            <w:vAlign w:val="center"/>
          </w:tcPr>
          <w:p>
            <w:pPr>
              <w:pStyle w:val="TableContents"/>
              <w:bidi w:val="0"/>
              <w:spacing w:before="0" w:after="283"/>
              <w:jc w:val="left"/>
              <w:rPr/>
            </w:pPr>
            <w:r>
              <w:rPr/>
              <w:t>●</w:t>
            </w:r>
          </w:p>
        </w:tc>
        <w:tc>
          <w:tcPr>
            <w:tcW w:w="7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of initiation of data readout from our clinical trials;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or commercial success of any product candidate we develop and the degree of acceptance among physicians, patients, patient advocacy groups, healthcare payors and the medical community;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competition, potential market size, the size of the patient populations for our product candidates, if approved for commercial use, and market acceptance;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regulatory approval of our product candidates, and any restrictions, limitations and/or warnings in their labels, if approved;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w:t>
            </w:r>
          </w:p>
        </w:tc>
      </w:tr>
    </w:tbl>
    <w:tbl>
      <w:tblPr>
        <w:tblW w:w="7667" w:type="dxa"/>
        <w:jc w:val="left"/>
        <w:tblInd w:w="0" w:type="dxa"/>
        <w:tblLayout w:type="fixed"/>
        <w:tblCellMar>
          <w:top w:w="0" w:type="dxa"/>
          <w:left w:w="0" w:type="dxa"/>
          <w:bottom w:w="0" w:type="dxa"/>
          <w:right w:w="0" w:type="dxa"/>
        </w:tblCellMar>
      </w:tblPr>
      <w:tblGrid>
        <w:gridCol w:w="271"/>
        <w:gridCol w:w="7396"/>
      </w:tblGrid>
      <w:tr>
        <w:trPr/>
        <w:tc>
          <w:tcPr>
            <w:tcW w:w="271" w:type="dxa"/>
            <w:tcBorders/>
            <w:vAlign w:val="center"/>
          </w:tcPr>
          <w:p>
            <w:pPr>
              <w:pStyle w:val="TableContents"/>
              <w:bidi w:val="0"/>
              <w:spacing w:before="0" w:after="283"/>
              <w:jc w:val="left"/>
              <w:rPr/>
            </w:pPr>
            <w:r>
              <w:rPr/>
              <w:t>●</w:t>
            </w:r>
          </w:p>
        </w:tc>
        <w:tc>
          <w:tcPr>
            <w:tcW w:w="7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claims relating to our intellectual property and third-party intellectual property;</w:t>
            </w:r>
          </w:p>
        </w:tc>
      </w:tr>
    </w:tbl>
    <w:tbl>
      <w:tblPr>
        <w:tblW w:w="8672" w:type="dxa"/>
        <w:jc w:val="left"/>
        <w:tblInd w:w="0" w:type="dxa"/>
        <w:tblLayout w:type="fixed"/>
        <w:tblCellMar>
          <w:top w:w="0" w:type="dxa"/>
          <w:left w:w="0" w:type="dxa"/>
          <w:bottom w:w="0" w:type="dxa"/>
          <w:right w:w="0" w:type="dxa"/>
        </w:tblCellMar>
      </w:tblPr>
      <w:tblGrid>
        <w:gridCol w:w="271"/>
        <w:gridCol w:w="8401"/>
      </w:tblGrid>
      <w:tr>
        <w:trPr/>
        <w:tc>
          <w:tcPr>
            <w:tcW w:w="271" w:type="dxa"/>
            <w:tcBorders/>
            <w:vAlign w:val="center"/>
          </w:tcPr>
          <w:p>
            <w:pPr>
              <w:pStyle w:val="TableContents"/>
              <w:bidi w:val="0"/>
              <w:spacing w:before="0" w:after="283"/>
              <w:jc w:val="left"/>
              <w:rPr/>
            </w:pPr>
            <w:r>
              <w:rPr/>
              <w:t>●</w:t>
            </w:r>
          </w:p>
        </w:tc>
        <w:tc>
          <w:tcPr>
            <w:tcW w:w="8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our intellectual property estate that will provide protection for our product candidates;</w:t>
            </w:r>
          </w:p>
        </w:tc>
      </w:tr>
    </w:tbl>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83"/>
              <w:jc w:val="left"/>
              <w:rPr/>
            </w:pPr>
            <w:r>
              <w:rPr/>
              <w:t>●</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marketing or distribution capabilities and our ability to commercialize our product candidates, if we obtain regulatory approval;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agreements with third parties in connection with conducting clinical trials, as well as the manufacturing of our product candidates;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ability of our current contract manufacturing partners to produce our product candidates in the quantities and timeframe that we will require;</w:t>
            </w:r>
          </w:p>
        </w:tc>
      </w:tr>
    </w:tbl>
    <w:tbl>
      <w:tblPr>
        <w:tblW w:w="4697" w:type="dxa"/>
        <w:jc w:val="left"/>
        <w:tblInd w:w="0" w:type="dxa"/>
        <w:tblLayout w:type="fixed"/>
        <w:tblCellMar>
          <w:top w:w="0" w:type="dxa"/>
          <w:left w:w="0" w:type="dxa"/>
          <w:bottom w:w="0" w:type="dxa"/>
          <w:right w:w="0" w:type="dxa"/>
        </w:tblCellMar>
      </w:tblPr>
      <w:tblGrid>
        <w:gridCol w:w="271"/>
        <w:gridCol w:w="4426"/>
      </w:tblGrid>
      <w:tr>
        <w:trPr/>
        <w:tc>
          <w:tcPr>
            <w:tcW w:w="271" w:type="dxa"/>
            <w:tcBorders/>
            <w:vAlign w:val="center"/>
          </w:tcPr>
          <w:p>
            <w:pPr>
              <w:pStyle w:val="TableContents"/>
              <w:bidi w:val="0"/>
              <w:spacing w:before="0" w:after="283"/>
              <w:jc w:val="left"/>
              <w:rPr/>
            </w:pPr>
            <w:r>
              <w:rPr/>
              <w:t>●</w:t>
            </w:r>
          </w:p>
        </w:tc>
        <w:tc>
          <w:tcPr>
            <w:tcW w:w="4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future costs of goods;</w:t>
            </w:r>
          </w:p>
        </w:tc>
      </w:tr>
    </w:tbl>
    <w:tbl>
      <w:tblPr>
        <w:tblW w:w="8267" w:type="dxa"/>
        <w:jc w:val="left"/>
        <w:tblInd w:w="0" w:type="dxa"/>
        <w:tblLayout w:type="fixed"/>
        <w:tblCellMar>
          <w:top w:w="0" w:type="dxa"/>
          <w:left w:w="0" w:type="dxa"/>
          <w:bottom w:w="0" w:type="dxa"/>
          <w:right w:w="0" w:type="dxa"/>
        </w:tblCellMar>
      </w:tblPr>
      <w:tblGrid>
        <w:gridCol w:w="271"/>
        <w:gridCol w:w="7996"/>
      </w:tblGrid>
      <w:tr>
        <w:trPr/>
        <w:tc>
          <w:tcPr>
            <w:tcW w:w="271" w:type="dxa"/>
            <w:tcBorders/>
            <w:vAlign w:val="center"/>
          </w:tcPr>
          <w:p>
            <w:pPr>
              <w:pStyle w:val="TableContents"/>
              <w:bidi w:val="0"/>
              <w:spacing w:before="0" w:after="283"/>
              <w:jc w:val="left"/>
              <w:rPr/>
            </w:pPr>
            <w:r>
              <w:rPr/>
              <w:t>●</w:t>
            </w:r>
          </w:p>
        </w:tc>
        <w:tc>
          <w:tcPr>
            <w:tcW w:w="7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retain and motivate key personnel and increase the size of our organization;</w:t>
            </w:r>
          </w:p>
        </w:tc>
      </w:tr>
    </w:tbl>
    <w:tbl>
      <w:tblPr>
        <w:tblW w:w="6857" w:type="dxa"/>
        <w:jc w:val="left"/>
        <w:tblInd w:w="0" w:type="dxa"/>
        <w:tblLayout w:type="fixed"/>
        <w:tblCellMar>
          <w:top w:w="0" w:type="dxa"/>
          <w:left w:w="0" w:type="dxa"/>
          <w:bottom w:w="0" w:type="dxa"/>
          <w:right w:w="0" w:type="dxa"/>
        </w:tblCellMar>
      </w:tblPr>
      <w:tblGrid>
        <w:gridCol w:w="271"/>
        <w:gridCol w:w="6586"/>
      </w:tblGrid>
      <w:tr>
        <w:trPr/>
        <w:tc>
          <w:tcPr>
            <w:tcW w:w="271" w:type="dxa"/>
            <w:tcBorders/>
            <w:vAlign w:val="center"/>
          </w:tcPr>
          <w:p>
            <w:pPr>
              <w:pStyle w:val="TableContents"/>
              <w:bidi w:val="0"/>
              <w:spacing w:before="0" w:after="283"/>
              <w:jc w:val="left"/>
              <w:rPr/>
            </w:pPr>
            <w:r>
              <w:rPr/>
              <w:t>●</w:t>
            </w:r>
          </w:p>
        </w:tc>
        <w:tc>
          <w:tcPr>
            <w:tcW w:w="65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collaborations in lieu of obtaining additional financing;</w:t>
            </w:r>
          </w:p>
        </w:tc>
      </w:tr>
    </w:tbl>
    <w:tbl>
      <w:tblPr>
        <w:tblW w:w="4277" w:type="dxa"/>
        <w:jc w:val="left"/>
        <w:tblInd w:w="0" w:type="dxa"/>
        <w:tblLayout w:type="fixed"/>
        <w:tblCellMar>
          <w:top w:w="0" w:type="dxa"/>
          <w:left w:w="0" w:type="dxa"/>
          <w:bottom w:w="0" w:type="dxa"/>
          <w:right w:w="0" w:type="dxa"/>
        </w:tblCellMar>
      </w:tblPr>
      <w:tblGrid>
        <w:gridCol w:w="271"/>
        <w:gridCol w:w="4006"/>
      </w:tblGrid>
      <w:tr>
        <w:trPr/>
        <w:tc>
          <w:tcPr>
            <w:tcW w:w="271" w:type="dxa"/>
            <w:tcBorders/>
            <w:vAlign w:val="center"/>
          </w:tcPr>
          <w:p>
            <w:pPr>
              <w:pStyle w:val="TableContents"/>
              <w:bidi w:val="0"/>
              <w:spacing w:before="0" w:after="283"/>
              <w:jc w:val="left"/>
              <w:rPr/>
            </w:pPr>
            <w:r>
              <w:rPr/>
              <w:t>●</w:t>
            </w:r>
          </w:p>
        </w:tc>
        <w:tc>
          <w:tcPr>
            <w:tcW w:w="4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tbl>
      <w:tblPr>
        <w:tblW w:w="2912" w:type="dxa"/>
        <w:jc w:val="left"/>
        <w:tblInd w:w="0" w:type="dxa"/>
        <w:tblLayout w:type="fixed"/>
        <w:tblCellMar>
          <w:top w:w="0" w:type="dxa"/>
          <w:left w:w="0" w:type="dxa"/>
          <w:bottom w:w="0" w:type="dxa"/>
          <w:right w:w="0" w:type="dxa"/>
        </w:tblCellMar>
      </w:tblPr>
      <w:tblGrid>
        <w:gridCol w:w="271"/>
        <w:gridCol w:w="2641"/>
      </w:tblGrid>
      <w:tr>
        <w:trPr/>
        <w:tc>
          <w:tcPr>
            <w:tcW w:w="271" w:type="dxa"/>
            <w:tcBorders/>
            <w:vAlign w:val="center"/>
          </w:tcPr>
          <w:p>
            <w:pPr>
              <w:pStyle w:val="TableContents"/>
              <w:bidi w:val="0"/>
              <w:spacing w:before="0" w:after="283"/>
              <w:jc w:val="left"/>
              <w:rPr/>
            </w:pPr>
            <w:r>
              <w:rPr/>
              <w:t>●</w:t>
            </w:r>
          </w:p>
        </w:tc>
        <w:tc>
          <w:tcPr>
            <w:tcW w:w="2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and</w:t>
            </w:r>
          </w:p>
        </w:tc>
      </w:tr>
    </w:tbl>
    <w:tbl>
      <w:tblPr>
        <w:tblW w:w="9692" w:type="dxa"/>
        <w:jc w:val="left"/>
        <w:tblInd w:w="0" w:type="dxa"/>
        <w:tblLayout w:type="fixed"/>
        <w:tblCellMar>
          <w:top w:w="0" w:type="dxa"/>
          <w:left w:w="0" w:type="dxa"/>
          <w:bottom w:w="0" w:type="dxa"/>
          <w:right w:w="0" w:type="dxa"/>
        </w:tblCellMar>
      </w:tblPr>
      <w:tblGrid>
        <w:gridCol w:w="271"/>
        <w:gridCol w:w="9421"/>
      </w:tblGrid>
      <w:tr>
        <w:trPr/>
        <w:tc>
          <w:tcPr>
            <w:tcW w:w="271" w:type="dxa"/>
            <w:tcBorders/>
            <w:vAlign w:val="center"/>
          </w:tcPr>
          <w:p>
            <w:pPr>
              <w:pStyle w:val="TableContents"/>
              <w:bidi w:val="0"/>
              <w:spacing w:before="0" w:after="283"/>
              <w:jc w:val="left"/>
              <w:rPr/>
            </w:pPr>
            <w:r>
              <w:rPr/>
              <w:t>●</w:t>
            </w:r>
          </w:p>
        </w:tc>
        <w:tc>
          <w:tcPr>
            <w:tcW w:w="9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time during which we will be a smaller reporting company under the Exchange Act.</w:t>
            </w:r>
          </w:p>
        </w:tc>
      </w:tr>
    </w:tbl>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Any forward-looking statements that we make in this Quarterly Report on Form 10-Q speak only as of the date of such statement, and we undertake no obligation to update such statements to reflect events or circumstances after the date of this Quarterly Report on Form 10-Q. You should also read carefully the factors described in the “Risk Factors” included in Part II, Item 1A of this Quarterly Report, and in Part I, Item 1A of our Annual Report on Form 10-K for the year ended December 31, 2025 to better understand significant risks and uncertainties inherent in our business and underlying any forward-looking statements. As a result of these factors, we cannot assure you that the forward-looking statements in this Quarterly Report on Form 10-Q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Form 10-Q may include trademarks, tradenames, and service marks that are the property of other organizations. Solely for convenience, our trademarks and tradenames referred to in this Form 10-Q may appear without the ® and ™ symbols, but those references are not intended to indicate, in any way, that we will not assert, to the fullest extent under applicable law, our rights, or the right of the applicable licensor to these trademarks and tradenames.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 w:name="PartIFinancialInformation_655269"/>
      <w:bookmarkStart w:id="29" w:name="_a557e6b5_5087_4812_b88c_5fc380f7cc41"/>
      <w:bookmarkEnd w:id="28"/>
      <w:bookmarkEnd w:id="29"/>
      <w:r>
        <w:rPr>
          <w:rFonts w:ascii="Times New Roman;Times;serif" w:hAnsi="Times New Roman;Times;serif"/>
          <w:b/>
          <w:sz w:val="20"/>
        </w:rPr>
        <w:t xml:space="preserve">Part I – Financial Information </w:t>
      </w:r>
    </w:p>
    <w:p>
      <w:pPr>
        <w:pStyle w:val="TextBody"/>
        <w:bidi w:val="0"/>
        <w:spacing w:before="0" w:after="240"/>
        <w:ind w:left="0" w:right="0" w:hanging="0"/>
        <w:jc w:val="center"/>
        <w:rPr/>
      </w:pPr>
      <w:r>
        <w:rPr/>
        <w:t>​</w:t>
      </w:r>
    </w:p>
    <w:p>
      <w:pPr>
        <w:pStyle w:val="TextBody"/>
        <w:bidi w:val="0"/>
        <w:spacing w:before="0" w:after="160"/>
        <w:ind w:left="0" w:right="0" w:hanging="0"/>
        <w:jc w:val="left"/>
        <w:rPr>
          <w:rFonts w:ascii="Times New Roman;Times;serif" w:hAnsi="Times New Roman;Times;serif"/>
          <w:b/>
          <w:sz w:val="20"/>
        </w:rPr>
      </w:pPr>
      <w:bookmarkStart w:id="30" w:name="Item1FinancialStatements_974418"/>
      <w:bookmarkEnd w:id="3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 w:name="Tc_lCb76KWGCkGLBoMOUPJrZw_25_5"/>
      <w:bookmarkStart w:id="32" w:name="Tc_qz3fBCEAjkCAXzONPVLVoQ_25_2"/>
      <w:bookmarkStart w:id="33" w:name="Tc_JznwRzRctUy_NlscPYayPw_25_0"/>
      <w:bookmarkStart w:id="34" w:name="Tc_vnrSVnB5v02wHbF3UdEO1Q_24_0"/>
      <w:bookmarkStart w:id="35" w:name="Tc_lKJDOa-FN0yOy-OaRP17Rg_23_0"/>
      <w:bookmarkStart w:id="36" w:name="Tc_hLzd6r_MUU6jopNvBJPoBQ_22_0"/>
      <w:bookmarkStart w:id="37" w:name="Tc_tKyQ1Wlcr0-4jImEcUa-1w_21_0"/>
      <w:bookmarkStart w:id="38" w:name="Tc_LOBSYPB8rEaxpK0DQZpHVw_20_0"/>
      <w:bookmarkStart w:id="39" w:name="Tc_rs3C5tn5UU-5XsiDpSdbYw_19_0"/>
      <w:bookmarkStart w:id="40" w:name="_585a5568_0da6_4a0c_b42e_875f6cf8e89d_3"/>
      <w:bookmarkStart w:id="41" w:name="_585a5568_0da6_4a0c_b42e_875f6cf8e89d_2"/>
      <w:bookmarkStart w:id="42" w:name="_585a5568_0da6_4a0c_b42e_875f6cf8e89d"/>
      <w:bookmarkStart w:id="43" w:name="Tc_eLFmUbnbcE20xWNQxPzWgw_18_0"/>
      <w:bookmarkStart w:id="44" w:name="Tc_3D6cI9aeJE6GQcXohLARVw_17_0"/>
      <w:bookmarkStart w:id="45" w:name="Tc_HuA0p9VcRESYGWLR2yM7cg_16_0"/>
      <w:bookmarkStart w:id="46" w:name="Tc_KEuicNo8IEiITRCkVTXrGw_15_0"/>
      <w:bookmarkStart w:id="47" w:name="Tc_uTYxMEk9DUWHhVXQ34Ga7A_14_5"/>
      <w:bookmarkStart w:id="48" w:name="Tc_KlVuB_aVfku0V2r4zexowA_14_2"/>
      <w:bookmarkStart w:id="49" w:name="Tc_S-ahGY0N7ky6G3NmguR73Q_14_0"/>
      <w:bookmarkStart w:id="50" w:name="Tc_rNol0eIj0E2Wbvi_fDpF9g_13_0"/>
      <w:bookmarkStart w:id="51" w:name="Tc_3t_fiL_I3EKooMEuS8jTkA_12_0"/>
      <w:bookmarkStart w:id="52" w:name="Tc_Dd-mLNaFWUiKg7gexBhhkA_11_5"/>
      <w:bookmarkStart w:id="53" w:name="Tc_jIze4BqPbkilnwe4tccXUg_11_2"/>
      <w:bookmarkStart w:id="54" w:name="Tc_YBNhQM17bUWSQmr88pcSbA_11_0"/>
      <w:bookmarkStart w:id="55" w:name="Tc_YyLBs4GVxU2YYfQAO2mf8g_10_0"/>
      <w:bookmarkStart w:id="56" w:name="Tc_g1tElGQrN0-m_XFqfJYCCg_9_0"/>
      <w:bookmarkStart w:id="57" w:name="Tc_YDv3MrNAXUiljW9s2uFpZw_8_0"/>
      <w:bookmarkStart w:id="58" w:name="Tc_m87rgv3H2UWg9Fu4xv9vLA_7_0"/>
      <w:bookmarkStart w:id="59" w:name="Tc_8gYTsQWKwkuCDcvYxSAhYA_6_0"/>
      <w:bookmarkStart w:id="60" w:name="Tc_LfN7TG87j0GqzAuZmcTPWA_5_5"/>
      <w:bookmarkStart w:id="61" w:name="Tc_tiYGgblILkKmQa7Rcr88dQ_5_2"/>
      <w:bookmarkStart w:id="62" w:name="Tc_170683_GikaFz5mSgAI5oA_5_0"/>
      <w:bookmarkStart w:id="63" w:name="Tc_jo2_-kYA2UCwMdV8MwkWfw_4_0"/>
      <w:bookmarkStart w:id="64" w:name="Tc_1BlsGfbLD0C4RS2HSSUvYg_3_2"/>
      <w:bookmarkStart w:id="65" w:name="Tc_AOTc3EI-XUmsWEracQrNZg_3_0"/>
      <w:bookmarkStart w:id="66" w:name="Tc_zTh-aU1cTESRd3iEUPM5qQ_2_5"/>
      <w:bookmarkStart w:id="67" w:name="Tc_uJiTGDr7TU6D9U4iLwe_TA_2_2"/>
      <w:bookmarkStart w:id="68" w:name="Tc_as91GovHz0ykC3_AeZWasg_1_5"/>
      <w:bookmarkStart w:id="69" w:name="Tc_Cy3GGAXqOkaaRgcY3NKrQg_1_2"/>
      <w:bookmarkStart w:id="70" w:name="_ca1467be_1284_4528_8de3_99d1c6e1fa34"/>
      <w:bookmarkStart w:id="71" w:name="Tc_lCb76KWGCkGLBoMOUPJrZw_25_5"/>
      <w:bookmarkStart w:id="72" w:name="Tc_qz3fBCEAjkCAXzONPVLVoQ_25_2"/>
      <w:bookmarkStart w:id="73" w:name="Tc_JznwRzRctUy_NlscPYayPw_25_0"/>
      <w:bookmarkStart w:id="74" w:name="Tc_vnrSVnB5v02wHbF3UdEO1Q_24_0"/>
      <w:bookmarkStart w:id="75" w:name="Tc_lKJDOa-FN0yOy-OaRP17Rg_23_0"/>
      <w:bookmarkStart w:id="76" w:name="Tc_hLzd6r_MUU6jopNvBJPoBQ_22_0"/>
      <w:bookmarkStart w:id="77" w:name="Tc_tKyQ1Wlcr0-4jImEcUa-1w_21_0"/>
      <w:bookmarkStart w:id="78" w:name="Tc_LOBSYPB8rEaxpK0DQZpHVw_20_0"/>
      <w:bookmarkStart w:id="79" w:name="Tc_rs3C5tn5UU-5XsiDpSdbYw_19_0"/>
      <w:bookmarkStart w:id="80" w:name="_585a5568_0da6_4a0c_b42e_875f6cf8e89d_3"/>
      <w:bookmarkStart w:id="81" w:name="_585a5568_0da6_4a0c_b42e_875f6cf8e89d_2"/>
      <w:bookmarkStart w:id="82" w:name="_585a5568_0da6_4a0c_b42e_875f6cf8e89d"/>
      <w:bookmarkStart w:id="83" w:name="Tc_eLFmUbnbcE20xWNQxPzWgw_18_0"/>
      <w:bookmarkStart w:id="84" w:name="Tc_3D6cI9aeJE6GQcXohLARVw_17_0"/>
      <w:bookmarkStart w:id="85" w:name="Tc_HuA0p9VcRESYGWLR2yM7cg_16_0"/>
      <w:bookmarkStart w:id="86" w:name="Tc_KEuicNo8IEiITRCkVTXrGw_15_0"/>
      <w:bookmarkStart w:id="87" w:name="Tc_uTYxMEk9DUWHhVXQ34Ga7A_14_5"/>
      <w:bookmarkStart w:id="88" w:name="Tc_KlVuB_aVfku0V2r4zexowA_14_2"/>
      <w:bookmarkStart w:id="89" w:name="Tc_S-ahGY0N7ky6G3NmguR73Q_14_0"/>
      <w:bookmarkStart w:id="90" w:name="Tc_rNol0eIj0E2Wbvi_fDpF9g_13_0"/>
      <w:bookmarkStart w:id="91" w:name="Tc_3t_fiL_I3EKooMEuS8jTkA_12_0"/>
      <w:bookmarkStart w:id="92" w:name="Tc_Dd-mLNaFWUiKg7gexBhhkA_11_5"/>
      <w:bookmarkStart w:id="93" w:name="Tc_jIze4BqPbkilnwe4tccXUg_11_2"/>
      <w:bookmarkStart w:id="94" w:name="Tc_YBNhQM17bUWSQmr88pcSbA_11_0"/>
      <w:bookmarkStart w:id="95" w:name="Tc_YyLBs4GVxU2YYfQAO2mf8g_10_0"/>
      <w:bookmarkStart w:id="96" w:name="Tc_g1tElGQrN0-m_XFqfJYCCg_9_0"/>
      <w:bookmarkStart w:id="97" w:name="Tc_YDv3MrNAXUiljW9s2uFpZw_8_0"/>
      <w:bookmarkStart w:id="98" w:name="Tc_m87rgv3H2UWg9Fu4xv9vLA_7_0"/>
      <w:bookmarkStart w:id="99" w:name="Tc_8gYTsQWKwkuCDcvYxSAhYA_6_0"/>
      <w:bookmarkStart w:id="100" w:name="Tc_LfN7TG87j0GqzAuZmcTPWA_5_5"/>
      <w:bookmarkStart w:id="101" w:name="Tc_tiYGgblILkKmQa7Rcr88dQ_5_2"/>
      <w:bookmarkStart w:id="102" w:name="Tc_170683_GikaFz5mSgAI5oA_5_0"/>
      <w:bookmarkStart w:id="103" w:name="Tc_jo2_-kYA2UCwMdV8MwkWfw_4_0"/>
      <w:bookmarkStart w:id="104" w:name="Tc_1BlsGfbLD0C4RS2HSSUvYg_3_2"/>
      <w:bookmarkStart w:id="105" w:name="Tc_AOTc3EI-XUmsWEracQrNZg_3_0"/>
      <w:bookmarkStart w:id="106" w:name="Tc_zTh-aU1cTESRd3iEUPM5qQ_2_5"/>
      <w:bookmarkStart w:id="107" w:name="Tc_uJiTGDr7TU6D9U4iLwe_TA_2_2"/>
      <w:bookmarkStart w:id="108" w:name="Tc_as91GovHz0ykC3_AeZWasg_1_5"/>
      <w:bookmarkStart w:id="109" w:name="Tc_Cy3GGAXqOkaaRgcY3NKrQg_1_2"/>
      <w:bookmarkStart w:id="110" w:name="_ca1467be_1284_4528_8de3_99d1c6e1fa34"/>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tbl>
      <w:tblPr>
        <w:tblW w:w="10205" w:type="dxa"/>
        <w:jc w:val="left"/>
        <w:tblInd w:w="0" w:type="dxa"/>
        <w:tblLayout w:type="fixed"/>
        <w:tblCellMar>
          <w:top w:w="0" w:type="dxa"/>
          <w:left w:w="0" w:type="dxa"/>
          <w:bottom w:w="0" w:type="dxa"/>
          <w:right w:w="0" w:type="dxa"/>
        </w:tblCellMar>
      </w:tblPr>
      <w:tblGrid>
        <w:gridCol w:w="6598"/>
        <w:gridCol w:w="346"/>
        <w:gridCol w:w="211"/>
        <w:gridCol w:w="1223"/>
        <w:gridCol w:w="346"/>
        <w:gridCol w:w="211"/>
        <w:gridCol w:w="1270"/>
      </w:tblGrid>
      <w:tr>
        <w:trPr/>
        <w:tc>
          <w:tcPr>
            <w:tcW w:w="6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3985" cy="175260"/>
                      <wp:effectExtent l="0" t="0" r="0" b="0"/>
                      <wp:wrapNone/>
                      <wp:docPr id="2" name="Frame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76605" cy="175260"/>
                      <wp:effectExtent l="0" t="0" r="0" b="0"/>
                      <wp:wrapNone/>
                      <wp:docPr id="3" name="Frame3"/>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06450" cy="175260"/>
                      <wp:effectExtent l="0" t="0" r="0" b="0"/>
                      <wp:wrapNone/>
                      <wp:docPr id="6" name="Frame6"/>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4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434"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pPr>
            <w:r>
              <w:rPr/>
              <w:t>  ​</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2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  ​</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41,233,428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14,599,347</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679,686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961,899</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41,913,114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15,561,246</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59,807</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41,186</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271,162</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42,289,924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15,933,401</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70" w:type="dxa"/>
            <w:tcBorders/>
            <w:vAlign w:val="center"/>
          </w:tcPr>
          <w:p>
            <w:pPr>
              <w:pStyle w:val="TableContents"/>
              <w:bidi w:val="0"/>
              <w:spacing w:before="0" w:after="0"/>
              <w:ind w:left="0" w:right="0" w:hanging="0"/>
              <w:jc w:val="right"/>
              <w:rPr/>
            </w:pPr>
            <w:r>
              <w:rPr/>
              <w:t>  ​</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0" w:type="dxa"/>
            <w:tcBorders/>
            <w:shd w:fill="CCEEFF" w:val="clear"/>
            <w:vAlign w:val="center"/>
          </w:tcPr>
          <w:p>
            <w:pPr>
              <w:pStyle w:val="TableContents"/>
              <w:bidi w:val="0"/>
              <w:spacing w:before="0" w:after="0"/>
              <w:ind w:left="0" w:right="0" w:hanging="0"/>
              <w:jc w:val="right"/>
              <w:rPr/>
            </w:pPr>
            <w:r>
              <w:rPr/>
              <w:t>  ​</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713,668</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2,050,690</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2,764,358</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0" w:type="dxa"/>
            <w:tcBorders/>
            <w:shd w:fill="CCEEFF" w:val="clear"/>
            <w:vAlign w:val="center"/>
          </w:tcPr>
          <w:p>
            <w:pPr>
              <w:pStyle w:val="TableContents"/>
              <w:bidi w:val="0"/>
              <w:spacing w:before="0" w:after="0"/>
              <w:ind w:left="0" w:right="0" w:hanging="0"/>
              <w:jc w:val="right"/>
              <w:rPr/>
            </w:pPr>
            <w:r>
              <w:rPr/>
              <w:t>  ​</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convertible preferred stock, $0.001 par value, 40,000,000 shares authorized; 31,194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727,361</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0" w:type="dxa"/>
            <w:tcBorders/>
            <w:shd w:fill="CCEEFF" w:val="clear"/>
            <w:vAlign w:val="center"/>
          </w:tcPr>
          <w:p>
            <w:pPr>
              <w:pStyle w:val="TableContents"/>
              <w:bidi w:val="0"/>
              <w:spacing w:before="0" w:after="0"/>
              <w:ind w:left="0" w:right="0" w:hanging="0"/>
              <w:jc w:val="right"/>
              <w:rPr/>
            </w:pPr>
            <w:r>
              <w:rPr/>
              <w:t>  ​</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400,000,000 shares authorized, 12,391,136 and 8,192,538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8,192</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389,596,149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356,709,645</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(10,617,617)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(10,634,714)</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(340,520,662)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(333,641,441)</w:t>
            </w:r>
          </w:p>
        </w:tc>
      </w:tr>
      <w:tr>
        <w:trPr/>
        <w:tc>
          <w:tcPr>
            <w:tcW w:w="6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38,470,261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12,441,682</w:t>
            </w:r>
          </w:p>
        </w:tc>
      </w:tr>
      <w:tr>
        <w:trPr/>
        <w:tc>
          <w:tcPr>
            <w:tcW w:w="6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42,289,924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15,933,401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1" w:name="_ad9f5e05_cea2_40c4_8b9c_b53321a64c47"/>
      <w:bookmarkEnd w:id="111"/>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12" w:name="Tc_wgaD88jaQkCIH1Pv4bE51w_19_0"/>
      <w:bookmarkStart w:id="113" w:name="Tc_PtNfN6L-006U3goEibuVEA_18_11"/>
      <w:bookmarkStart w:id="114" w:name="Tc_aUETpdMh9EirdIx758L25Q_18_8"/>
      <w:bookmarkStart w:id="115" w:name="Tc_Eno6iRbb9E-XYAsDhPB3rw_18_5"/>
      <w:bookmarkStart w:id="116" w:name="Tc_tZa_zxniKEuLM4sboK7_Ng_18_2"/>
      <w:bookmarkStart w:id="117" w:name="Tc_dLUtxzWmHUedFwtbJVmo5Q_18_0"/>
      <w:bookmarkStart w:id="118" w:name="Tc_jxJxxcSaUEO1BAVlCTwrYQ_17_11"/>
      <w:bookmarkStart w:id="119" w:name="Tc_OTQWtw5QsUC5uekJN1SWBg_17_8"/>
      <w:bookmarkStart w:id="120" w:name="Tc_-iSsaPueeUqUK2Ymgc_pZg_17_5"/>
      <w:bookmarkStart w:id="121" w:name="Tc_narD-atYY06RopEbz_OWeA_17_2"/>
      <w:bookmarkStart w:id="122" w:name="Tc_PmXxC__ew0K_jL-rwEnuyQ_17_0"/>
      <w:bookmarkStart w:id="123" w:name="Tc_nV9vuQ3hCEK_64bVXqARww_16_0"/>
      <w:bookmarkStart w:id="124" w:name="Tc_t8RxXDDaz0a_mk7pLltQ2A_15_0"/>
      <w:bookmarkStart w:id="125" w:name="Tc_hL5l6KiuNEO6LC4V7NW7AQ_14_11"/>
      <w:bookmarkStart w:id="126" w:name="Tc_-uwhIAqTmE6zuA_tVtFiuw_14_8"/>
      <w:bookmarkStart w:id="127" w:name="Tc_5E0mGKpqqkaJJt5riEgw1w_14_5"/>
      <w:bookmarkStart w:id="128" w:name="Tc_IgyYM2RT-0WaaBI5iXvR8Q_14_2"/>
      <w:bookmarkStart w:id="129" w:name="Tc_V7AKTro0_0Gd4czspCMQSw_14_0"/>
      <w:bookmarkStart w:id="130" w:name="Tc_2XuGMqiVy0-zKcmOsIQrQA_13_0"/>
      <w:bookmarkStart w:id="131" w:name="Tc_gsVwBx1J_0GXl3MNYWfv3A_12_0"/>
      <w:bookmarkStart w:id="132" w:name="Tc_Wi6nq8UOBUmfn3qOGCsDeQ_11_12"/>
      <w:bookmarkStart w:id="133" w:name="Tc_RQ9mf61ju06uV8uEkWjotg_11_6"/>
      <w:bookmarkStart w:id="134" w:name="Tc_fBSpyuhOU0Sahn4kOL65uA_11_0"/>
      <w:bookmarkStart w:id="135" w:name="Tc_cn_VwUOtxU-2qmZxdckGcQ_10_0"/>
      <w:bookmarkStart w:id="136" w:name="Tc_MnWIRVSIb0WRQm8_YBKpVQ_9_0"/>
      <w:bookmarkStart w:id="137" w:name="Tc_3UXADHRo50mI5LAplko0QA_8_0"/>
      <w:bookmarkStart w:id="138" w:name="Tc_diZTwNM8IUaZrC_iOcP--g_7_0"/>
      <w:bookmarkStart w:id="139" w:name="Tc_eRXs5LUjHkSn78lrqem1JA_6_0"/>
      <w:bookmarkStart w:id="140" w:name="Tc_foBGDe69LkGJ4ZAsaAXKvA_5_0"/>
      <w:bookmarkStart w:id="141" w:name="Tc_C3KayLqw8kGJ0cGas3XLmg_4_0"/>
      <w:bookmarkStart w:id="142" w:name="Tc_dVbeDFdjFUWS1zwPYMh0MA_3_11"/>
      <w:bookmarkStart w:id="143" w:name="Tc_dCU5M5E8qkWYmspzOyQM6A_3_9"/>
      <w:bookmarkStart w:id="144" w:name="Tc_KWNwFq33B0KuIHBtllikYA_3_8"/>
      <w:bookmarkStart w:id="145" w:name="Tc_ULtk6mP2wUijdLe6cvGG7g_3_5"/>
      <w:bookmarkStart w:id="146" w:name="Tc_qxpBxfUrvUmk9zT7RB49pA_3_3"/>
      <w:bookmarkStart w:id="147" w:name="Tc_2EiNEsaZBUWqFjxLTDy6IA_3_2"/>
      <w:bookmarkStart w:id="148" w:name="Tc_mnUSa1TmAUi0tHas2S1_sw_3_0"/>
      <w:bookmarkStart w:id="149" w:name="Tc_ImfFP4lBk0-5csxy1GdcGw_2_11"/>
      <w:bookmarkStart w:id="150" w:name="Tc_TCAUMv_MiEalFZGyg_e7zA_2_8"/>
      <w:bookmarkStart w:id="151" w:name="Tc_bJYAIeO2b0mybMtmH2PCQQ_2_5"/>
      <w:bookmarkStart w:id="152" w:name="Tc_PrHMMORzvEur1q2MV0Ji-Q_2_2"/>
      <w:bookmarkStart w:id="153" w:name="Tc_XMWeCNGAa0WvqQyrWDV90A_1_8"/>
      <w:bookmarkStart w:id="154" w:name="Tc_P9ee3ZXhJUK-vKSlQCNXeQ_1_2"/>
      <w:bookmarkStart w:id="155" w:name="_32c216e9_7942_477c_8dae_f11303642b8d"/>
      <w:bookmarkStart w:id="156" w:name="_20238986_9cfd_4330_bfd9_91d737ca6b3f"/>
      <w:bookmarkStart w:id="157" w:name="Tc_wgaD88jaQkCIH1Pv4bE51w_19_0"/>
      <w:bookmarkStart w:id="158" w:name="Tc_PtNfN6L-006U3goEibuVEA_18_11"/>
      <w:bookmarkStart w:id="159" w:name="Tc_aUETpdMh9EirdIx758L25Q_18_8"/>
      <w:bookmarkStart w:id="160" w:name="Tc_Eno6iRbb9E-XYAsDhPB3rw_18_5"/>
      <w:bookmarkStart w:id="161" w:name="Tc_tZa_zxniKEuLM4sboK7_Ng_18_2"/>
      <w:bookmarkStart w:id="162" w:name="Tc_dLUtxzWmHUedFwtbJVmo5Q_18_0"/>
      <w:bookmarkStart w:id="163" w:name="Tc_jxJxxcSaUEO1BAVlCTwrYQ_17_11"/>
      <w:bookmarkStart w:id="164" w:name="Tc_OTQWtw5QsUC5uekJN1SWBg_17_8"/>
      <w:bookmarkStart w:id="165" w:name="Tc_-iSsaPueeUqUK2Ymgc_pZg_17_5"/>
      <w:bookmarkStart w:id="166" w:name="Tc_narD-atYY06RopEbz_OWeA_17_2"/>
      <w:bookmarkStart w:id="167" w:name="Tc_PmXxC__ew0K_jL-rwEnuyQ_17_0"/>
      <w:bookmarkStart w:id="168" w:name="Tc_nV9vuQ3hCEK_64bVXqARww_16_0"/>
      <w:bookmarkStart w:id="169" w:name="Tc_t8RxXDDaz0a_mk7pLltQ2A_15_0"/>
      <w:bookmarkStart w:id="170" w:name="Tc_hL5l6KiuNEO6LC4V7NW7AQ_14_11"/>
      <w:bookmarkStart w:id="171" w:name="Tc_-uwhIAqTmE6zuA_tVtFiuw_14_8"/>
      <w:bookmarkStart w:id="172" w:name="Tc_5E0mGKpqqkaJJt5riEgw1w_14_5"/>
      <w:bookmarkStart w:id="173" w:name="Tc_IgyYM2RT-0WaaBI5iXvR8Q_14_2"/>
      <w:bookmarkStart w:id="174" w:name="Tc_V7AKTro0_0Gd4czspCMQSw_14_0"/>
      <w:bookmarkStart w:id="175" w:name="Tc_2XuGMqiVy0-zKcmOsIQrQA_13_0"/>
      <w:bookmarkStart w:id="176" w:name="Tc_gsVwBx1J_0GXl3MNYWfv3A_12_0"/>
      <w:bookmarkStart w:id="177" w:name="Tc_Wi6nq8UOBUmfn3qOGCsDeQ_11_12"/>
      <w:bookmarkStart w:id="178" w:name="Tc_RQ9mf61ju06uV8uEkWjotg_11_6"/>
      <w:bookmarkStart w:id="179" w:name="Tc_fBSpyuhOU0Sahn4kOL65uA_11_0"/>
      <w:bookmarkStart w:id="180" w:name="Tc_cn_VwUOtxU-2qmZxdckGcQ_10_0"/>
      <w:bookmarkStart w:id="181" w:name="Tc_MnWIRVSIb0WRQm8_YBKpVQ_9_0"/>
      <w:bookmarkStart w:id="182" w:name="Tc_3UXADHRo50mI5LAplko0QA_8_0"/>
      <w:bookmarkStart w:id="183" w:name="Tc_diZTwNM8IUaZrC_iOcP--g_7_0"/>
      <w:bookmarkStart w:id="184" w:name="Tc_eRXs5LUjHkSn78lrqem1JA_6_0"/>
      <w:bookmarkStart w:id="185" w:name="Tc_foBGDe69LkGJ4ZAsaAXKvA_5_0"/>
      <w:bookmarkStart w:id="186" w:name="Tc_C3KayLqw8kGJ0cGas3XLmg_4_0"/>
      <w:bookmarkStart w:id="187" w:name="Tc_dVbeDFdjFUWS1zwPYMh0MA_3_11"/>
      <w:bookmarkStart w:id="188" w:name="Tc_dCU5M5E8qkWYmspzOyQM6A_3_9"/>
      <w:bookmarkStart w:id="189" w:name="Tc_KWNwFq33B0KuIHBtllikYA_3_8"/>
      <w:bookmarkStart w:id="190" w:name="Tc_ULtk6mP2wUijdLe6cvGG7g_3_5"/>
      <w:bookmarkStart w:id="191" w:name="Tc_qxpBxfUrvUmk9zT7RB49pA_3_3"/>
      <w:bookmarkStart w:id="192" w:name="Tc_2EiNEsaZBUWqFjxLTDy6IA_3_2"/>
      <w:bookmarkStart w:id="193" w:name="Tc_mnUSa1TmAUi0tHas2S1_sw_3_0"/>
      <w:bookmarkStart w:id="194" w:name="Tc_ImfFP4lBk0-5csxy1GdcGw_2_11"/>
      <w:bookmarkStart w:id="195" w:name="Tc_TCAUMv_MiEalFZGyg_e7zA_2_8"/>
      <w:bookmarkStart w:id="196" w:name="Tc_bJYAIeO2b0mybMtmH2PCQQ_2_5"/>
      <w:bookmarkStart w:id="197" w:name="Tc_PrHMMORzvEur1q2MV0Ji-Q_2_2"/>
      <w:bookmarkStart w:id="198" w:name="Tc_XMWeCNGAa0WvqQyrWDV90A_1_8"/>
      <w:bookmarkStart w:id="199" w:name="Tc_P9ee3ZXhJUK-vKSlQCNXeQ_1_2"/>
      <w:bookmarkStart w:id="200" w:name="_32c216e9_7942_477c_8dae_f11303642b8d"/>
      <w:bookmarkStart w:id="201" w:name="_20238986_9cfd_4330_bfd9_91d737ca6b3f"/>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tbl>
      <w:tblPr>
        <w:tblW w:w="10205" w:type="dxa"/>
        <w:jc w:val="left"/>
        <w:tblInd w:w="0" w:type="dxa"/>
        <w:tblLayout w:type="fixed"/>
        <w:tblCellMar>
          <w:top w:w="0" w:type="dxa"/>
          <w:left w:w="0" w:type="dxa"/>
          <w:bottom w:w="0" w:type="dxa"/>
          <w:right w:w="0" w:type="dxa"/>
        </w:tblCellMar>
      </w:tblPr>
      <w:tblGrid>
        <w:gridCol w:w="3662"/>
        <w:gridCol w:w="346"/>
        <w:gridCol w:w="211"/>
        <w:gridCol w:w="1042"/>
        <w:gridCol w:w="346"/>
        <w:gridCol w:w="211"/>
        <w:gridCol w:w="1018"/>
        <w:gridCol w:w="346"/>
        <w:gridCol w:w="211"/>
        <w:gridCol w:w="1042"/>
        <w:gridCol w:w="346"/>
        <w:gridCol w:w="211"/>
        <w:gridCol w:w="1018"/>
        <w:gridCol w:w="195"/>
      </w:tblGrid>
      <w:tr>
        <w:trPr/>
        <w:tc>
          <w:tcPr>
            <w:tcW w:w="3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1670" cy="175260"/>
                      <wp:effectExtent l="0" t="0" r="0" b="0"/>
                      <wp:wrapNone/>
                      <wp:docPr id="9" name="Frame9"/>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6430" cy="175260"/>
                      <wp:effectExtent l="0" t="0" r="0" b="0"/>
                      <wp:wrapNone/>
                      <wp:docPr id="12" name="Frame12"/>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1670" cy="175260"/>
                      <wp:effectExtent l="0" t="0" r="0" b="0"/>
                      <wp:wrapNone/>
                      <wp:docPr id="15" name="Frame15"/>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6430" cy="175260"/>
                      <wp:effectExtent l="0" t="0" r="0" b="0"/>
                      <wp:wrapNone/>
                      <wp:docPr id="18" name="Frame18"/>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3825" cy="175260"/>
                      <wp:effectExtent l="0" t="0" r="0" b="0"/>
                      <wp:wrapNone/>
                      <wp:docPr id="19" name="Frame19"/>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8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5" w:type="dxa"/>
            <w:tcBorders/>
            <w:vAlign w:val="center"/>
          </w:tcPr>
          <w:p>
            <w:pPr>
              <w:pStyle w:val="TableContents"/>
              <w:bidi w:val="0"/>
              <w:spacing w:before="0" w:after="1"/>
              <w:ind w:left="0" w:right="0" w:hanging="0"/>
              <w:jc w:val="left"/>
              <w:rPr/>
            </w:pPr>
            <w:r>
              <w:rPr/>
              <w:t> </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280,574</w:t>
            </w:r>
          </w:p>
        </w:tc>
        <w:tc>
          <w:tcPr>
            <w:tcW w:w="195" w:type="dxa"/>
            <w:tcBorders/>
            <w:shd w:fill="CCEEFF" w:val="clear"/>
            <w:vAlign w:val="center"/>
          </w:tcPr>
          <w:p>
            <w:pPr>
              <w:pStyle w:val="TableContents"/>
              <w:bidi w:val="0"/>
              <w:spacing w:before="0" w:after="1"/>
              <w:ind w:left="0" w:right="0" w:hanging="0"/>
              <w:jc w:val="left"/>
              <w:rPr/>
            </w:pPr>
            <w:r>
              <w:rPr/>
              <w:t> </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pPr>
            <w:r>
              <w:rPr/>
              <w:t>​</w:t>
            </w:r>
          </w:p>
        </w:tc>
        <w:tc>
          <w:tcPr>
            <w:tcW w:w="195" w:type="dxa"/>
            <w:tcBorders/>
            <w:vAlign w:val="center"/>
          </w:tcPr>
          <w:p>
            <w:pPr>
              <w:pStyle w:val="TableContents"/>
              <w:bidi w:val="0"/>
              <w:spacing w:before="0" w:after="1"/>
              <w:ind w:left="0" w:right="0" w:hanging="0"/>
              <w:jc w:val="left"/>
              <w:rPr/>
            </w:pPr>
            <w:r>
              <w:rPr/>
              <w:t> </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2,462,042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1,912,213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4,395,279</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1,570,138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1,593,671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3,389,383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3,358,650</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4,032,180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3,505,884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7,753,929</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(4,032,180)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(3,387,773)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(7,462,592)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(7,473,355)</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pPr>
            <w:r>
              <w:rPr/>
              <w:t>​</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358,923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493,707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382,753</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pPr>
            <w:r>
              <w:rPr/>
              <w:t>—</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(80,927)</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301,826</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(3,591,304)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(3,238,870)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(6,879,221)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(7,171,529)</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pPr>
            <w:r>
              <w:rPr/>
              <w:t>​</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(3,583,221)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(3,240,551)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(6,862,124)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(7,172,567)</w:t>
            </w:r>
          </w:p>
        </w:tc>
        <w:tc>
          <w:tcPr>
            <w:tcW w:w="195"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195"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53,483,504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6,083,329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34,191,653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6,038,845</w:t>
            </w:r>
          </w:p>
        </w:tc>
        <w:tc>
          <w:tcPr>
            <w:tcW w:w="195"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2" w:name="_044d0962_46bf_48ff_87b6_409403cc0326"/>
      <w:bookmarkEnd w:id="202"/>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Convertible Preferred Stock and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03" w:name="Tc__MzTG_b-mUK3TaGj4CE-9w_34_24"/>
      <w:bookmarkStart w:id="204" w:name="Tc_zhRfd0z2wU2NqnnGI6q0kw_34_21"/>
      <w:bookmarkStart w:id="205" w:name="Tc_Rrr6TBXj7Ei9j0Z0lCMROA_34_18"/>
      <w:bookmarkStart w:id="206" w:name="Tc_3KQwkcHyuUeQ6yNe01JbUw_34_16"/>
      <w:bookmarkStart w:id="207" w:name="Tc_ByJl4AQR6EeEIpOrqWa9vA_34_15"/>
      <w:bookmarkStart w:id="208" w:name="Tc_rUkJyV9fskeUgmHNec0EcQ_34_12"/>
      <w:bookmarkStart w:id="209" w:name="Tc__C37PVJ3Z0-9lUt_4wWAtA_34_9"/>
      <w:bookmarkStart w:id="210" w:name="Tc_Ezpz5BqjAkm9u3qoit-PAA_34_4"/>
      <w:bookmarkStart w:id="211" w:name="Tc_2agTZAr_kE6ojiPSa9E26Q_34_0"/>
      <w:bookmarkStart w:id="212" w:name="Tc_aJg4on0LoEWN-gwPdANx0w_33_19"/>
      <w:bookmarkStart w:id="213" w:name="Tc_4oCbiGV2y0qFPVcGgZhXsA_33_16"/>
      <w:bookmarkStart w:id="214" w:name="Tc_dcbVVAH8f0qAKh77he3yMA_33_13"/>
      <w:bookmarkStart w:id="215" w:name="Tc_VEq2E3w4S0-58-6eiKRcTA_33_10"/>
      <w:bookmarkStart w:id="216" w:name="Tc_pD56fP21AEGZlj9LP-eK_A_33_7"/>
      <w:bookmarkStart w:id="217" w:name="Tc_Gcpz0G3rIU2HPBlpAiQivA_33_5"/>
      <w:bookmarkStart w:id="218" w:name="Tc_vZ1UDN8gek6JoWl_VerxrA_33_2"/>
      <w:bookmarkStart w:id="219" w:name="Tc_odSvDW1Y2kSCT4ppoxh9Ew_33_0"/>
      <w:bookmarkStart w:id="220" w:name="Tc_XBQc2SUSzkassvjsvM18Bg_32_22"/>
      <w:bookmarkStart w:id="221" w:name="Tc_rqfDvMg0M02Z7sbrBMSXrg_32_16"/>
      <w:bookmarkStart w:id="222" w:name="Tc_eEha2SSYKUyJJ8_JHUraPw_32_13"/>
      <w:bookmarkStart w:id="223" w:name="Tc_5QbEB_V7nk-mWQJVFLPWPQ_32_10"/>
      <w:bookmarkStart w:id="224" w:name="Tc_Za67r_aLekiCtdjON04NZg_32_7"/>
      <w:bookmarkStart w:id="225" w:name="Tc_GQIvqwqiak-IuVf_TKLHGg_32_5"/>
      <w:bookmarkStart w:id="226" w:name="Tc_jzOPTPgZH0uwobO-HnR4Nw_32_2"/>
      <w:bookmarkStart w:id="227" w:name="Tc_SwABZnQT5kOzQSPSORBPvg_32_0"/>
      <w:bookmarkStart w:id="228" w:name="Tc_AY0bCTYaT0ehSpkk8iUkuw_31_22"/>
      <w:bookmarkStart w:id="229" w:name="Tc_PQvRiUd0o06cxkFg7Vp5fg_31_19"/>
      <w:bookmarkStart w:id="230" w:name="Tc_KgG_W01oNEiNkJ62Jp0gBQ_31_16"/>
      <w:bookmarkStart w:id="231" w:name="Tc_kpNFyqyZ7E--3m4rjJfGmg_31_10"/>
      <w:bookmarkStart w:id="232" w:name="Tc_0hLG9tOr9UacHX41Xqk3Jw_31_7"/>
      <w:bookmarkStart w:id="233" w:name="Tc_ciopZe0dLUSrvzZYInUTfA_31_5"/>
      <w:bookmarkStart w:id="234" w:name="Tc_jlpGGpLcoEikFp5AqRG8tQ_31_2"/>
      <w:bookmarkStart w:id="235" w:name="Tc_1F50JGdbckOTQZZ5HQ7L8g_31_0"/>
      <w:bookmarkStart w:id="236" w:name="Tc_YqXdMJ-OvEqXRAIMrxqpPw_30_25"/>
      <w:bookmarkStart w:id="237" w:name="Tc_X9f5lyc-J0CnV8cBPy5-og_30_22"/>
      <w:bookmarkStart w:id="238" w:name="Tc_GMgfg-KxHEmNaqJf9iIoyg_30_19"/>
      <w:bookmarkStart w:id="239" w:name="Tc_Wp1GO5OLNUmD3VreJ79s7g_30_16"/>
      <w:bookmarkStart w:id="240" w:name="Tc_BKhu2_GrT0-azbNX43rSrg_30_5"/>
      <w:bookmarkStart w:id="241" w:name="Tc_s0pooJQQ2Ee1qJUzc6GYRA_30_2"/>
      <w:bookmarkStart w:id="242" w:name="Tc_sCVMlrbkrEKCXcxKzVShmg_30_0"/>
      <w:bookmarkStart w:id="243" w:name="Tc_vsbe84e9iUWb7aQWUXC4Yg_29_25"/>
      <w:bookmarkStart w:id="244" w:name="Tc_Dpn7IBbZ_0KIaJhav8-0uQ_29_22"/>
      <w:bookmarkStart w:id="245" w:name="Tc_Dlj0qIi-X06Ybi1zj1Q-7g_29_19"/>
      <w:bookmarkStart w:id="246" w:name="Tc_wlwAQIcArkWgBi0hJN8mvw_29_16"/>
      <w:bookmarkStart w:id="247" w:name="Tc_rOwfhFvv-UO_Q2UWVOeifw_29_5"/>
      <w:bookmarkStart w:id="248" w:name="Tc_cDE-M5xWN0O-FtPU9alkcw_29_2"/>
      <w:bookmarkStart w:id="249" w:name="Tc_BXZVSBdRjEOeoOefZh6USw_29_0"/>
      <w:bookmarkStart w:id="250" w:name="Tc_P1J8WplxwkSjORGL8z_3iw_28_22"/>
      <w:bookmarkStart w:id="251" w:name="Tc_OukT41C3VUektDjBZD_9yw_28_19"/>
      <w:bookmarkStart w:id="252" w:name="Tc_227I6X9BbU2x6q9pnXzImw_28_5"/>
      <w:bookmarkStart w:id="253" w:name="Tc_BcCmJtiqckSz8m2iK0lFQA_28_2"/>
      <w:bookmarkStart w:id="254" w:name="Tc_JsVaTM7oa0qoUm6lOYoDRw_28_0"/>
      <w:bookmarkStart w:id="255" w:name="Tc_G4Omo4JaX06K45KXstxhVw_27_24"/>
      <w:bookmarkStart w:id="256" w:name="Tc_QTFgVN3BNEeV9bXxdu0VIQ_27_21"/>
      <w:bookmarkStart w:id="257" w:name="Tc_4XAqQe-V5U6Ktf7gGDPoiw_27_18"/>
      <w:bookmarkStart w:id="258" w:name="Tc_64nqnOCOu0KzC6ybsC532Q_27_15"/>
      <w:bookmarkStart w:id="259" w:name="Tc_xYOPRLVQ2E-vnS6eHQGP7Q_27_12"/>
      <w:bookmarkStart w:id="260" w:name="Tc_GnvNf1RiEUKYl_MiaDDtrA_27_9"/>
      <w:bookmarkStart w:id="261" w:name="Tc_-ws25pEGB06FZUwxeQM2IQ_27_4"/>
      <w:bookmarkStart w:id="262" w:name="Tc_YlWkPA6tCkOpMJ8f3nnmFA_27_0"/>
      <w:bookmarkStart w:id="263" w:name="Tc_nXJOy85Vt0SRRcuDfRzPaQ_26_19"/>
      <w:bookmarkStart w:id="264" w:name="Tc__4gInnYIsUKwaCLIk9_MqQ_26_16"/>
      <w:bookmarkStart w:id="265" w:name="Tc_qbAKHNYQpkyZgNz60yFrhg_26_13"/>
      <w:bookmarkStart w:id="266" w:name="Tc_OnRvzG4SUUCZo391Y8gBMQ_26_10"/>
      <w:bookmarkStart w:id="267" w:name="Tc_-c5AVpNVbEODMyrFUfXbyQ_26_7"/>
      <w:bookmarkStart w:id="268" w:name="Tc_VoiJ62uaKka0DNnh7HuBwg_26_5"/>
      <w:bookmarkStart w:id="269" w:name="Tc_dRaC42GVHU-jFUnm9SRVmw_26_2"/>
      <w:bookmarkStart w:id="270" w:name="Tc_v2MXFeQzlUygQYrt88SJ0g_26_0"/>
      <w:bookmarkStart w:id="271" w:name="Tc_LmRaot87fUqMPl-WIM-aIg_25_22"/>
      <w:bookmarkStart w:id="272" w:name="Tc_TVoDS8xa5keTXaaCivqsog_25_16"/>
      <w:bookmarkStart w:id="273" w:name="Tc_WCbLsMgkTEqgQEeQCWlKgw_25_13"/>
      <w:bookmarkStart w:id="274" w:name="Tc_PG7lJ25ra0m_GErKRYQIiA_25_10"/>
      <w:bookmarkStart w:id="275" w:name="Tc_Fo5ZLI8V9ECemYQ2tE-NzQ_25_7"/>
      <w:bookmarkStart w:id="276" w:name="Tc_mAxMZrEBBkCGCLAJKbmEOQ_25_5"/>
      <w:bookmarkStart w:id="277" w:name="Tc_wj7fS_vlcUOVrDkalJcwXA_25_2"/>
      <w:bookmarkStart w:id="278" w:name="Tc_bm7kLdoYhkKnAYbC8gP33Q_25_0"/>
      <w:bookmarkStart w:id="279" w:name="Tc_aJ7P1fvAaEWU21uFc_yn7w_24_22"/>
      <w:bookmarkStart w:id="280" w:name="Tc_z59PN9_SFkyS4YyRc5S9rA_24_19"/>
      <w:bookmarkStart w:id="281" w:name="Tc_VkS9bFjvS0CjT6QmO0Ku1Q_24_16"/>
      <w:bookmarkStart w:id="282" w:name="Tc_bF8s9ow6vkyNL1xMjWi8vQ_24_10"/>
      <w:bookmarkStart w:id="283" w:name="Tc_No7g-lFosEC1uEN6tYJ4Jw_24_7"/>
      <w:bookmarkStart w:id="284" w:name="Tc_EhkNSzzhSkOa07olvOez5A_24_5"/>
      <w:bookmarkStart w:id="285" w:name="Tc_aiJ0CVJog0KTi5VfnMAK-A_24_2"/>
      <w:bookmarkStart w:id="286" w:name="Tc_HLboFDzNEUGY67yyFzesSw_24_0"/>
      <w:bookmarkStart w:id="287" w:name="Tc_CPQSKHOxok69AGjW89a8Ew_23_25"/>
      <w:bookmarkStart w:id="288" w:name="Tc_OfEPMc8J1UOBkZGFxZGIAQ_23_22"/>
      <w:bookmarkStart w:id="289" w:name="Tc_JoyIlhPqE0WFpynMz4Eqzg_23_19"/>
      <w:bookmarkStart w:id="290" w:name="Tc_Cnzy9yL6ZUu6Yr7W5-71Wg_23_16"/>
      <w:bookmarkStart w:id="291" w:name="Tc_CX46By71ZUihbDYRvgWmQQ_23_5"/>
      <w:bookmarkStart w:id="292" w:name="Tc_hKEU6sSgrU-HnqPFSlp88A_23_2"/>
      <w:bookmarkStart w:id="293" w:name="Tc_m_z1cayh20iSHKveD_Ho1Q_23_0"/>
      <w:bookmarkStart w:id="294" w:name="Tc_HDW6ljcy806Tzzq0_uqKvA_22_25"/>
      <w:bookmarkStart w:id="295" w:name="Tc_0_yTv1dtmk-6V2Qk6x62rQ_22_22"/>
      <w:bookmarkStart w:id="296" w:name="Tc_sTYoKkcRrUyluZ7jkYHimg_22_19"/>
      <w:bookmarkStart w:id="297" w:name="Tc_ZYcojtgrtkm2HBlYDt1T9w_22_16"/>
      <w:bookmarkStart w:id="298" w:name="Tc_-0irysCun0C0ibuVilqoyQ_22_5"/>
      <w:bookmarkStart w:id="299" w:name="Tc_5Gjg3pNwWU2GYao6CvAjLw_22_2"/>
      <w:bookmarkStart w:id="300" w:name="Tc_yjTFNb88YkiVlcwVyk6vcw_22_0"/>
      <w:bookmarkStart w:id="301" w:name="Tc_LBCRJ6J9rEW0dEQTra1mIg_21_25"/>
      <w:bookmarkStart w:id="302" w:name="Tc_7fQ6owLwFEqRAZwqd3ysQg_21_22"/>
      <w:bookmarkStart w:id="303" w:name="Tc_nj07tU1R0Emcr1X3EYrr_A_21_19"/>
      <w:bookmarkStart w:id="304" w:name="Tc_1ZpehstBIEeOf59f58xS9Q_21_10"/>
      <w:bookmarkStart w:id="305" w:name="Tc_MdSJtrf7TU6WgtePCpPDPg_21_7"/>
      <w:bookmarkStart w:id="306" w:name="Tc_3inqBpjXJUyG7vse0p3O3g_21_5"/>
      <w:bookmarkStart w:id="307" w:name="Tc_y33DnaezG0uxqPP9Z0qOAw_21_2"/>
      <w:bookmarkStart w:id="308" w:name="Tc_-ZmoSqTRSUO6nyVz-uaPlQ_21_0"/>
      <w:bookmarkStart w:id="309" w:name="Tc_uBXv6Jwc5UOkV8iQBT3YUw_20_22"/>
      <w:bookmarkStart w:id="310" w:name="Tc_sHqgtt9LT0esqDvZtKwxYA_20_19"/>
      <w:bookmarkStart w:id="311" w:name="Tc_Akf0s80VsESs_jzTHJrVCQ_20_16"/>
      <w:bookmarkStart w:id="312" w:name="Tc_K4oO5y_rQU25JeLVg_m3Dg_20_5"/>
      <w:bookmarkStart w:id="313" w:name="Tc_9B2OpvA2-Em_WnkbXVa3dQ_20_2"/>
      <w:bookmarkStart w:id="314" w:name="Tc_QIGfd-VsxUSS4gclAzSEjQ_20_0"/>
      <w:bookmarkStart w:id="315" w:name="Tc_07SnujXoFkGYz66E9nfcKA_19_24"/>
      <w:bookmarkStart w:id="316" w:name="Tc_5vYEZTt9hEytoJvD2quFjg_19_21"/>
      <w:bookmarkStart w:id="317" w:name="Tc_QlrAHV5q10eo5nYiRKv5cQ_19_18"/>
      <w:bookmarkStart w:id="318" w:name="Tc_weaZDhuVzkSq7lzLYuH4sA_19_16"/>
      <w:bookmarkStart w:id="319" w:name="Tc_uiW4Z-alUESneFivVDSuyw_19_15"/>
      <w:bookmarkStart w:id="320" w:name="Tc_tUaymrARd0yuZ4cION3cng_19_12"/>
      <w:bookmarkStart w:id="321" w:name="Tc_2fEETL1-TkK_VOs4kYKt5A_19_9"/>
      <w:bookmarkStart w:id="322" w:name="Tc_pkfc3k4vo06KW2XrYLn4Ng_19_4"/>
      <w:bookmarkStart w:id="323" w:name="Tc_5oAAr5-0Y0i2ATR9x58Dzg_19_0"/>
      <w:bookmarkStart w:id="324" w:name="Tc_833ke6KdeUai5yV2nbOXoA_17_24"/>
      <w:bookmarkStart w:id="325" w:name="Tc_DlCEyqyBa0SHEbHgQ7jTfQ_17_21"/>
      <w:bookmarkStart w:id="326" w:name="Tc_aaNgHG2SfkmJt6ER08Qrlw_17_18"/>
      <w:bookmarkStart w:id="327" w:name="Tc_0Gqjzq0N4E-k99_ZF-LWhw_17_16"/>
      <w:bookmarkStart w:id="328" w:name="Tc_RpyjXcQvmkaNDbTKqq_qMQ_17_15"/>
      <w:bookmarkStart w:id="329" w:name="Tc_y3PrlwD8FUusOeoNhFIF5A_17_12"/>
      <w:bookmarkStart w:id="330" w:name="Tc_ass5kFyrD0q8Fuyg1vNt6w_17_9"/>
      <w:bookmarkStart w:id="331" w:name="Tc_AxcMONIxZkymNZHKIshekA_17_4"/>
      <w:bookmarkStart w:id="332" w:name="Tc_l-F_2msdVUWMpBfj2VqfUQ_17_0"/>
      <w:bookmarkStart w:id="333" w:name="Tc_huOF3IDm3UG8OZjOI4ltmQ_16_19"/>
      <w:bookmarkStart w:id="334" w:name="Tc_VIjRciUI2kaYACPaQzl3MQ_16_16"/>
      <w:bookmarkStart w:id="335" w:name="Tc_gu5GgRmJokmizo1fTMwlqQ_16_13"/>
      <w:bookmarkStart w:id="336" w:name="Tc_ncSdazPuwkW_Lojh5y_BzA_16_10"/>
      <w:bookmarkStart w:id="337" w:name="Tc_Mwgkf5BswEa3pJEZg4mOCQ_16_7"/>
      <w:bookmarkStart w:id="338" w:name="Tc_xaoA-OdatEyFMwrrpfSi6Q_16_5"/>
      <w:bookmarkStart w:id="339" w:name="Tc_QErxgwqj0U2euTGKYrV5CA_16_2"/>
      <w:bookmarkStart w:id="340" w:name="Tc_3e43lk4b5k6rR1CLyvhAGQ_16_0"/>
      <w:bookmarkStart w:id="341" w:name="Tc_Eiie5LrPCEGNWwOy0794Uw_15_22"/>
      <w:bookmarkStart w:id="342" w:name="Tc_OpEoinPblEqr_HL59Akviw_15_16"/>
      <w:bookmarkStart w:id="343" w:name="Tc_p-o0ov4-lkCPOB57dYE53g_15_13"/>
      <w:bookmarkStart w:id="344" w:name="Tc_brM_-lDD8EO07FbKlbUsMg_15_10"/>
      <w:bookmarkStart w:id="345" w:name="Tc_ah28JDjvc0awSss52E1fnA_15_7"/>
      <w:bookmarkStart w:id="346" w:name="Tc_jWmKKCwvskq3Jv9HxzmK2A_15_5"/>
      <w:bookmarkStart w:id="347" w:name="Tc_yAp_TTbF8kmVrkWqJm7AAQ_15_2"/>
      <w:bookmarkStart w:id="348" w:name="Tc_QzDaI_HGgEiDgDcjO8Jmwg_15_0"/>
      <w:bookmarkStart w:id="349" w:name="Tc_YJ0jYmcQ_UWERiwmEq6sUg_14_22"/>
      <w:bookmarkStart w:id="350" w:name="Tc_y4xRRWIgcUKV1BqIps8K9w_14_19"/>
      <w:bookmarkStart w:id="351" w:name="Tc_T75cjNBuwEmcnGAQsG8zhw_14_16"/>
      <w:bookmarkStart w:id="352" w:name="Tc_1_usT1HOG0-acwDtQqtvCw_14_10"/>
      <w:bookmarkStart w:id="353" w:name="Tc_IWqvhCSdoEu4KAi-4wQ_nw_14_7"/>
      <w:bookmarkStart w:id="354" w:name="Tc_Eu3nqfe5Xk-Vqtjv9jgOag_14_5"/>
      <w:bookmarkStart w:id="355" w:name="Tc_Xfc2XQKFiUyYh4_yg3S2-Q_14_2"/>
      <w:bookmarkStart w:id="356" w:name="Tc_7XNCPjthvESro6INdUKtGQ_14_0"/>
      <w:bookmarkStart w:id="357" w:name="Tc_t2VeGiqugk2_vycTMf-GBw_13_25"/>
      <w:bookmarkStart w:id="358" w:name="Tc_i6ynfXbWJkadssZH5OKdXA_13_22"/>
      <w:bookmarkStart w:id="359" w:name="Tc_tWOhrrLxW02zQQONdcfAxA_13_19"/>
      <w:bookmarkStart w:id="360" w:name="Tc_9Vb4UJLAaEyYvPYkojuvPQ_13_16"/>
      <w:bookmarkStart w:id="361" w:name="Tc_k3tCmbm-SUi6M3QD6kRLTw_13_5"/>
      <w:bookmarkStart w:id="362" w:name="Tc_tT3_M41WaEmPrFHJW4YZxg_13_2"/>
      <w:bookmarkStart w:id="363" w:name="Tc__w0ayr7ZtkqYEqGkTWc17g_13_0"/>
      <w:bookmarkStart w:id="364" w:name="Tc_QQCKsGk67kOKDXwr1BWkBA_12_22"/>
      <w:bookmarkStart w:id="365" w:name="Tc_dZ5aDKVU906-c53yq9Dpjg_12_19"/>
      <w:bookmarkStart w:id="366" w:name="Tc_Rc0uro-k00eF0oR4bqWn-g_12_16"/>
      <w:bookmarkStart w:id="367" w:name="Tc_6CGsuzKxikaQRIu6ckS8pg_12_5"/>
      <w:bookmarkStart w:id="368" w:name="Tc_-N6G-BdE0kewzGCiXNlztw_12_2"/>
      <w:bookmarkStart w:id="369" w:name="Tc_73CNp4Fh6UKu60a19YlS4Q_12_0"/>
      <w:bookmarkStart w:id="370" w:name="Tc_oybr-B0RQkiiVhkldLVWfw_11_22"/>
      <w:bookmarkStart w:id="371" w:name="Tc_p1pyiZKSDkCfedgcIrkMeQ_11_19"/>
      <w:bookmarkStart w:id="372" w:name="Tc_pv4VGk_U3U-acwDWf_46dQ_11_16"/>
      <w:bookmarkStart w:id="373" w:name="Tc_ywcaupJKk0STBbXaxm7Fjg_11_0"/>
      <w:bookmarkStart w:id="374" w:name="Tc_ntjD6CY20Ea2wYh1einl8A_10_24"/>
      <w:bookmarkStart w:id="375" w:name="Tc_Kd33cKXb0k6l89Qu9Dj7Pg_10_21"/>
      <w:bookmarkStart w:id="376" w:name="Tc_V8avrjKrQEyCnRHC-DPVUw_10_18"/>
      <w:bookmarkStart w:id="377" w:name="Tc_VEz56PwR4Ue0AOrdorexcA_10_16"/>
      <w:bookmarkStart w:id="378" w:name="Tc_g-7rZA8l3UijzESA9-GXKQ_10_15"/>
      <w:bookmarkStart w:id="379" w:name="Tc_0YGD0jKsn06eu8ey-F_BjA_10_12"/>
      <w:bookmarkStart w:id="380" w:name="Tc_bhU_ANW4JE-8-elXCvOZ1w_10_9"/>
      <w:bookmarkStart w:id="381" w:name="Tc_yX-8jymHHEyVN2kihy6KAw_10_4"/>
      <w:bookmarkStart w:id="382" w:name="Tc_U3JohUIQYUSabGSFouXkuA_10_0"/>
      <w:bookmarkStart w:id="383" w:name="Tc_214AkXzRt0i1AszG112pYw_9_19"/>
      <w:bookmarkStart w:id="384" w:name="Tc_B7PAEWNstkOk_yCxLYPYjA_9_16"/>
      <w:bookmarkStart w:id="385" w:name="Tc_xizqiNssGE2UAIzOL6S2YQ_9_13"/>
      <w:bookmarkStart w:id="386" w:name="Tc_n5Z36INc5ke4lwQiDn9amg_9_10"/>
      <w:bookmarkStart w:id="387" w:name="Tc_dA71kmCvrE20e3DG_y14OA_9_7"/>
      <w:bookmarkStart w:id="388" w:name="Tc_oii7Xm14-E-JTm7bThew-Q_9_5"/>
      <w:bookmarkStart w:id="389" w:name="Tc_GJRmTzqSsUOTfHG8uyDa0A_9_2"/>
      <w:bookmarkStart w:id="390" w:name="Tc_gJ8NydYB80KoJJl68Ax_Cg_9_0"/>
      <w:bookmarkStart w:id="391" w:name="Tc_7u-ODFhmqkC4vfHb4GUwZA_8_22"/>
      <w:bookmarkStart w:id="392" w:name="Tc_ut5izKCk0km58Ho_4jh-Zw_8_16"/>
      <w:bookmarkStart w:id="393" w:name="Tc_lgetJfNwiEqoBGv8CWVuIg_8_13"/>
      <w:bookmarkStart w:id="394" w:name="Tc_2G_6M6HOrk2V30eyJ3399A_8_10"/>
      <w:bookmarkStart w:id="395" w:name="Tc_qMbLn4-CbUyz4vczJst-2Q_8_7"/>
      <w:bookmarkStart w:id="396" w:name="Tc_sOeDbq261kOC5IUyCjSJfg_8_5"/>
      <w:bookmarkStart w:id="397" w:name="Tc_Kaxb-WGnxkuno7xz4EcCtA_8_2"/>
      <w:bookmarkStart w:id="398" w:name="Tc_AdTyhenoAUyrRmLiaE8Z-w_8_0"/>
      <w:bookmarkStart w:id="399" w:name="Tc_4mGS70mB2Uab8c-ndIgesA_7_22"/>
      <w:bookmarkStart w:id="400" w:name="Tc_pR7kELYDu0imjuKVR3KURA_7_19"/>
      <w:bookmarkStart w:id="401" w:name="Tc_G5rlnARxMUycVuTSUvBLpw_7_16"/>
      <w:bookmarkStart w:id="402" w:name="Tc_MHYCNLueLEidfZxNaLGcnQ_7_10"/>
      <w:bookmarkStart w:id="403" w:name="Tc_kX3EX0YVNU-obNZyBsdBrw_7_7"/>
      <w:bookmarkStart w:id="404" w:name="Tc_5ypV0QV0qUiS9dYR8T-FlQ_7_5"/>
      <w:bookmarkStart w:id="405" w:name="Tc_Km_wTQ-ki06b1vZRmH13Gg_7_2"/>
      <w:bookmarkStart w:id="406" w:name="Tc_Ih8LL9CRJ06LGmfyPqiekA_7_0"/>
      <w:bookmarkStart w:id="407" w:name="Tc_1Fk0ua_5yU27Yn0wsq-6RA_6_25"/>
      <w:bookmarkStart w:id="408" w:name="Tc_BXA33r4-xkacCLksY_z5Eg_6_22"/>
      <w:bookmarkStart w:id="409" w:name="Tc_DGsbVIAU2k-7IGcfw5WuOA_6_19"/>
      <w:bookmarkStart w:id="410" w:name="Tc_cBSKisESaUCf9In5lsZp9g_6_16"/>
      <w:bookmarkStart w:id="411" w:name="Tc_21dDRwoKq0eBxCs0jC808A_6_5"/>
      <w:bookmarkStart w:id="412" w:name="Tc_jocT2w_uqEqaSc1ZWTZLFA_6_2"/>
      <w:bookmarkStart w:id="413" w:name="Tc_8mYZGp1Mwku3XWCAElADRA_6_0"/>
      <w:bookmarkStart w:id="414" w:name="Tc_R57pmI84tECE4qEcJhNsNA_5_22"/>
      <w:bookmarkStart w:id="415" w:name="Tc_3-88ScpbKkKH4rlyxOk7Bg_5_19"/>
      <w:bookmarkStart w:id="416" w:name="Tc_O5PDYLU8ukOpjD1h4ZbfHg_5_16"/>
      <w:bookmarkStart w:id="417" w:name="Tc_JbBxQ3P0NUeChlleuDhHPA_5_5"/>
      <w:bookmarkStart w:id="418" w:name="Tc_5clLTo3UxkyWUFZ7JvMkZg_5_2"/>
      <w:bookmarkStart w:id="419" w:name="Tc_QYpXYmk340K_awbIdbknuA_5_0"/>
      <w:bookmarkStart w:id="420" w:name="Tc_yQTzGaExIEK-uxEr8r1Z9A_4_24"/>
      <w:bookmarkStart w:id="421" w:name="Tc_FcmwNw59BEaVtQzOiwlj8w_4_21"/>
      <w:bookmarkStart w:id="422" w:name="Tc_1AFC8QmO90Sy-IysRviJpQ_4_18"/>
      <w:bookmarkStart w:id="423" w:name="Tc_U6wUfLbcKUCB7EeD1ne53w_4_16"/>
      <w:bookmarkStart w:id="424" w:name="Tc_WCElhHt4j0KS2hNdW9VpNA_4_15"/>
      <w:bookmarkStart w:id="425" w:name="Tc_NKHDJN14rEa8HaFJXeSGAQ_4_12"/>
      <w:bookmarkStart w:id="426" w:name="Tc_Q8yQzo8QLkKIHsKhzeM5kg_4_9"/>
      <w:bookmarkStart w:id="427" w:name="Tc_jlJ8KIhBY0ar1NGOYU6ucA_4_4"/>
      <w:bookmarkStart w:id="428" w:name="Tc_5szuiDzWxUi9AGa4Vx1fEQ_4_0"/>
      <w:bookmarkStart w:id="429" w:name="Tc_bqgXWhVgY0K26Yy0z3Ru6A_3_25"/>
      <w:bookmarkStart w:id="430" w:name="Tc_e4jOQcRSDUiuB4XhItiYWQ_3_21"/>
      <w:bookmarkStart w:id="431" w:name="Tc_DVm4569PQUyd6qXVT0mjtA_3_18"/>
      <w:bookmarkStart w:id="432" w:name="Tc_HtjWkQ_n_ECIMv_UnTUk7A_3_15"/>
      <w:bookmarkStart w:id="433" w:name="Tc_d9J4LSls1kyRZUf12mF2EA_3_12"/>
      <w:bookmarkStart w:id="434" w:name="Tc__CwXeob8wkeEb96YQPKc_Q_3_9"/>
      <w:bookmarkStart w:id="435" w:name="Tc_q903xbxMkkW18FELWAOv1w_3_7"/>
      <w:bookmarkStart w:id="436" w:name="Tc_Vl9YVIG0dUumULBgPVxPVw_3_4"/>
      <w:bookmarkStart w:id="437" w:name="Tc_jVhF5UsMxUGtUhr5nXU57w_3_2"/>
      <w:bookmarkStart w:id="438" w:name="Tc_VSxwfU_UMUys9iV1kDMxjw_2_24"/>
      <w:bookmarkStart w:id="439" w:name="Tc_0lpfH3_aMUa2Yl6oYpAZKw_2_21"/>
      <w:bookmarkStart w:id="440" w:name="Tc_5K0FEh3DAUO6lMmuz7ZIdA_2_18"/>
      <w:bookmarkStart w:id="441" w:name="Tc_Li7nZd3v7keBgzfxcysyYw_2_15"/>
      <w:bookmarkStart w:id="442" w:name="Tc_gYynXXDqVE-TJKIYcRb-QQ_2_12"/>
      <w:bookmarkStart w:id="443" w:name="Tc_FJY-o7m9t0SbKiZlBYgTPg_2_7"/>
      <w:bookmarkStart w:id="444" w:name="Tc_zr8YD2UzaEK3sUHyyTmuJw_2_2"/>
      <w:bookmarkStart w:id="445" w:name="Tc_mVMQ9WlhOUug9KZ9QTO5HA_1_18"/>
      <w:bookmarkStart w:id="446" w:name="Tc_kP2kA6sPcUWx6hB9_xct9g_1_12"/>
      <w:bookmarkStart w:id="447" w:name="_3a84d363_42ee_4c4a_86ec_529867559813"/>
      <w:bookmarkStart w:id="448" w:name="Tc__MzTG_b-mUK3TaGj4CE-9w_34_24"/>
      <w:bookmarkStart w:id="449" w:name="Tc_zhRfd0z2wU2NqnnGI6q0kw_34_21"/>
      <w:bookmarkStart w:id="450" w:name="Tc_Rrr6TBXj7Ei9j0Z0lCMROA_34_18"/>
      <w:bookmarkStart w:id="451" w:name="Tc_3KQwkcHyuUeQ6yNe01JbUw_34_16"/>
      <w:bookmarkStart w:id="452" w:name="Tc_ByJl4AQR6EeEIpOrqWa9vA_34_15"/>
      <w:bookmarkStart w:id="453" w:name="Tc_rUkJyV9fskeUgmHNec0EcQ_34_12"/>
      <w:bookmarkStart w:id="454" w:name="Tc__C37PVJ3Z0-9lUt_4wWAtA_34_9"/>
      <w:bookmarkStart w:id="455" w:name="Tc_Ezpz5BqjAkm9u3qoit-PAA_34_4"/>
      <w:bookmarkStart w:id="456" w:name="Tc_2agTZAr_kE6ojiPSa9E26Q_34_0"/>
      <w:bookmarkStart w:id="457" w:name="Tc_aJg4on0LoEWN-gwPdANx0w_33_19"/>
      <w:bookmarkStart w:id="458" w:name="Tc_4oCbiGV2y0qFPVcGgZhXsA_33_16"/>
      <w:bookmarkStart w:id="459" w:name="Tc_dcbVVAH8f0qAKh77he3yMA_33_13"/>
      <w:bookmarkStart w:id="460" w:name="Tc_VEq2E3w4S0-58-6eiKRcTA_33_10"/>
      <w:bookmarkStart w:id="461" w:name="Tc_pD56fP21AEGZlj9LP-eK_A_33_7"/>
      <w:bookmarkStart w:id="462" w:name="Tc_Gcpz0G3rIU2HPBlpAiQivA_33_5"/>
      <w:bookmarkStart w:id="463" w:name="Tc_vZ1UDN8gek6JoWl_VerxrA_33_2"/>
      <w:bookmarkStart w:id="464" w:name="Tc_odSvDW1Y2kSCT4ppoxh9Ew_33_0"/>
      <w:bookmarkStart w:id="465" w:name="Tc_XBQc2SUSzkassvjsvM18Bg_32_22"/>
      <w:bookmarkStart w:id="466" w:name="Tc_rqfDvMg0M02Z7sbrBMSXrg_32_16"/>
      <w:bookmarkStart w:id="467" w:name="Tc_eEha2SSYKUyJJ8_JHUraPw_32_13"/>
      <w:bookmarkStart w:id="468" w:name="Tc_5QbEB_V7nk-mWQJVFLPWPQ_32_10"/>
      <w:bookmarkStart w:id="469" w:name="Tc_Za67r_aLekiCtdjON04NZg_32_7"/>
      <w:bookmarkStart w:id="470" w:name="Tc_GQIvqwqiak-IuVf_TKLHGg_32_5"/>
      <w:bookmarkStart w:id="471" w:name="Tc_jzOPTPgZH0uwobO-HnR4Nw_32_2"/>
      <w:bookmarkStart w:id="472" w:name="Tc_SwABZnQT5kOzQSPSORBPvg_32_0"/>
      <w:bookmarkStart w:id="473" w:name="Tc_AY0bCTYaT0ehSpkk8iUkuw_31_22"/>
      <w:bookmarkStart w:id="474" w:name="Tc_PQvRiUd0o06cxkFg7Vp5fg_31_19"/>
      <w:bookmarkStart w:id="475" w:name="Tc_KgG_W01oNEiNkJ62Jp0gBQ_31_16"/>
      <w:bookmarkStart w:id="476" w:name="Tc_kpNFyqyZ7E--3m4rjJfGmg_31_10"/>
      <w:bookmarkStart w:id="477" w:name="Tc_0hLG9tOr9UacHX41Xqk3Jw_31_7"/>
      <w:bookmarkStart w:id="478" w:name="Tc_ciopZe0dLUSrvzZYInUTfA_31_5"/>
      <w:bookmarkStart w:id="479" w:name="Tc_jlpGGpLcoEikFp5AqRG8tQ_31_2"/>
      <w:bookmarkStart w:id="480" w:name="Tc_1F50JGdbckOTQZZ5HQ7L8g_31_0"/>
      <w:bookmarkStart w:id="481" w:name="Tc_YqXdMJ-OvEqXRAIMrxqpPw_30_25"/>
      <w:bookmarkStart w:id="482" w:name="Tc_X9f5lyc-J0CnV8cBPy5-og_30_22"/>
      <w:bookmarkStart w:id="483" w:name="Tc_GMgfg-KxHEmNaqJf9iIoyg_30_19"/>
      <w:bookmarkStart w:id="484" w:name="Tc_Wp1GO5OLNUmD3VreJ79s7g_30_16"/>
      <w:bookmarkStart w:id="485" w:name="Tc_BKhu2_GrT0-azbNX43rSrg_30_5"/>
      <w:bookmarkStart w:id="486" w:name="Tc_s0pooJQQ2Ee1qJUzc6GYRA_30_2"/>
      <w:bookmarkStart w:id="487" w:name="Tc_sCVMlrbkrEKCXcxKzVShmg_30_0"/>
      <w:bookmarkStart w:id="488" w:name="Tc_vsbe84e9iUWb7aQWUXC4Yg_29_25"/>
      <w:bookmarkStart w:id="489" w:name="Tc_Dpn7IBbZ_0KIaJhav8-0uQ_29_22"/>
      <w:bookmarkStart w:id="490" w:name="Tc_Dlj0qIi-X06Ybi1zj1Q-7g_29_19"/>
      <w:bookmarkStart w:id="491" w:name="Tc_wlwAQIcArkWgBi0hJN8mvw_29_16"/>
      <w:bookmarkStart w:id="492" w:name="Tc_rOwfhFvv-UO_Q2UWVOeifw_29_5"/>
      <w:bookmarkStart w:id="493" w:name="Tc_cDE-M5xWN0O-FtPU9alkcw_29_2"/>
      <w:bookmarkStart w:id="494" w:name="Tc_BXZVSBdRjEOeoOefZh6USw_29_0"/>
      <w:bookmarkStart w:id="495" w:name="Tc_P1J8WplxwkSjORGL8z_3iw_28_22"/>
      <w:bookmarkStart w:id="496" w:name="Tc_OukT41C3VUektDjBZD_9yw_28_19"/>
      <w:bookmarkStart w:id="497" w:name="Tc_227I6X9BbU2x6q9pnXzImw_28_5"/>
      <w:bookmarkStart w:id="498" w:name="Tc_BcCmJtiqckSz8m2iK0lFQA_28_2"/>
      <w:bookmarkStart w:id="499" w:name="Tc_JsVaTM7oa0qoUm6lOYoDRw_28_0"/>
      <w:bookmarkStart w:id="500" w:name="Tc_G4Omo4JaX06K45KXstxhVw_27_24"/>
      <w:bookmarkStart w:id="501" w:name="Tc_QTFgVN3BNEeV9bXxdu0VIQ_27_21"/>
      <w:bookmarkStart w:id="502" w:name="Tc_4XAqQe-V5U6Ktf7gGDPoiw_27_18"/>
      <w:bookmarkStart w:id="503" w:name="Tc_64nqnOCOu0KzC6ybsC532Q_27_15"/>
      <w:bookmarkStart w:id="504" w:name="Tc_xYOPRLVQ2E-vnS6eHQGP7Q_27_12"/>
      <w:bookmarkStart w:id="505" w:name="Tc_GnvNf1RiEUKYl_MiaDDtrA_27_9"/>
      <w:bookmarkStart w:id="506" w:name="Tc_-ws25pEGB06FZUwxeQM2IQ_27_4"/>
      <w:bookmarkStart w:id="507" w:name="Tc_YlWkPA6tCkOpMJ8f3nnmFA_27_0"/>
      <w:bookmarkStart w:id="508" w:name="Tc_nXJOy85Vt0SRRcuDfRzPaQ_26_19"/>
      <w:bookmarkStart w:id="509" w:name="Tc__4gInnYIsUKwaCLIk9_MqQ_26_16"/>
      <w:bookmarkStart w:id="510" w:name="Tc_qbAKHNYQpkyZgNz60yFrhg_26_13"/>
      <w:bookmarkStart w:id="511" w:name="Tc_OnRvzG4SUUCZo391Y8gBMQ_26_10"/>
      <w:bookmarkStart w:id="512" w:name="Tc_-c5AVpNVbEODMyrFUfXbyQ_26_7"/>
      <w:bookmarkStart w:id="513" w:name="Tc_VoiJ62uaKka0DNnh7HuBwg_26_5"/>
      <w:bookmarkStart w:id="514" w:name="Tc_dRaC42GVHU-jFUnm9SRVmw_26_2"/>
      <w:bookmarkStart w:id="515" w:name="Tc_v2MXFeQzlUygQYrt88SJ0g_26_0"/>
      <w:bookmarkStart w:id="516" w:name="Tc_LmRaot87fUqMPl-WIM-aIg_25_22"/>
      <w:bookmarkStart w:id="517" w:name="Tc_TVoDS8xa5keTXaaCivqsog_25_16"/>
      <w:bookmarkStart w:id="518" w:name="Tc_WCbLsMgkTEqgQEeQCWlKgw_25_13"/>
      <w:bookmarkStart w:id="519" w:name="Tc_PG7lJ25ra0m_GErKRYQIiA_25_10"/>
      <w:bookmarkStart w:id="520" w:name="Tc_Fo5ZLI8V9ECemYQ2tE-NzQ_25_7"/>
      <w:bookmarkStart w:id="521" w:name="Tc_mAxMZrEBBkCGCLAJKbmEOQ_25_5"/>
      <w:bookmarkStart w:id="522" w:name="Tc_wj7fS_vlcUOVrDkalJcwXA_25_2"/>
      <w:bookmarkStart w:id="523" w:name="Tc_bm7kLdoYhkKnAYbC8gP33Q_25_0"/>
      <w:bookmarkStart w:id="524" w:name="Tc_aJ7P1fvAaEWU21uFc_yn7w_24_22"/>
      <w:bookmarkStart w:id="525" w:name="Tc_z59PN9_SFkyS4YyRc5S9rA_24_19"/>
      <w:bookmarkStart w:id="526" w:name="Tc_VkS9bFjvS0CjT6QmO0Ku1Q_24_16"/>
      <w:bookmarkStart w:id="527" w:name="Tc_bF8s9ow6vkyNL1xMjWi8vQ_24_10"/>
      <w:bookmarkStart w:id="528" w:name="Tc_No7g-lFosEC1uEN6tYJ4Jw_24_7"/>
      <w:bookmarkStart w:id="529" w:name="Tc_EhkNSzzhSkOa07olvOez5A_24_5"/>
      <w:bookmarkStart w:id="530" w:name="Tc_aiJ0CVJog0KTi5VfnMAK-A_24_2"/>
      <w:bookmarkStart w:id="531" w:name="Tc_HLboFDzNEUGY67yyFzesSw_24_0"/>
      <w:bookmarkStart w:id="532" w:name="Tc_CPQSKHOxok69AGjW89a8Ew_23_25"/>
      <w:bookmarkStart w:id="533" w:name="Tc_OfEPMc8J1UOBkZGFxZGIAQ_23_22"/>
      <w:bookmarkStart w:id="534" w:name="Tc_JoyIlhPqE0WFpynMz4Eqzg_23_19"/>
      <w:bookmarkStart w:id="535" w:name="Tc_Cnzy9yL6ZUu6Yr7W5-71Wg_23_16"/>
      <w:bookmarkStart w:id="536" w:name="Tc_CX46By71ZUihbDYRvgWmQQ_23_5"/>
      <w:bookmarkStart w:id="537" w:name="Tc_hKEU6sSgrU-HnqPFSlp88A_23_2"/>
      <w:bookmarkStart w:id="538" w:name="Tc_m_z1cayh20iSHKveD_Ho1Q_23_0"/>
      <w:bookmarkStart w:id="539" w:name="Tc_HDW6ljcy806Tzzq0_uqKvA_22_25"/>
      <w:bookmarkStart w:id="540" w:name="Tc_0_yTv1dtmk-6V2Qk6x62rQ_22_22"/>
      <w:bookmarkStart w:id="541" w:name="Tc_sTYoKkcRrUyluZ7jkYHimg_22_19"/>
      <w:bookmarkStart w:id="542" w:name="Tc_ZYcojtgrtkm2HBlYDt1T9w_22_16"/>
      <w:bookmarkStart w:id="543" w:name="Tc_-0irysCun0C0ibuVilqoyQ_22_5"/>
      <w:bookmarkStart w:id="544" w:name="Tc_5Gjg3pNwWU2GYao6CvAjLw_22_2"/>
      <w:bookmarkStart w:id="545" w:name="Tc_yjTFNb88YkiVlcwVyk6vcw_22_0"/>
      <w:bookmarkStart w:id="546" w:name="Tc_LBCRJ6J9rEW0dEQTra1mIg_21_25"/>
      <w:bookmarkStart w:id="547" w:name="Tc_7fQ6owLwFEqRAZwqd3ysQg_21_22"/>
      <w:bookmarkStart w:id="548" w:name="Tc_nj07tU1R0Emcr1X3EYrr_A_21_19"/>
      <w:bookmarkStart w:id="549" w:name="Tc_1ZpehstBIEeOf59f58xS9Q_21_10"/>
      <w:bookmarkStart w:id="550" w:name="Tc_MdSJtrf7TU6WgtePCpPDPg_21_7"/>
      <w:bookmarkStart w:id="551" w:name="Tc_3inqBpjXJUyG7vse0p3O3g_21_5"/>
      <w:bookmarkStart w:id="552" w:name="Tc_y33DnaezG0uxqPP9Z0qOAw_21_2"/>
      <w:bookmarkStart w:id="553" w:name="Tc_-ZmoSqTRSUO6nyVz-uaPlQ_21_0"/>
      <w:bookmarkStart w:id="554" w:name="Tc_uBXv6Jwc5UOkV8iQBT3YUw_20_22"/>
      <w:bookmarkStart w:id="555" w:name="Tc_sHqgtt9LT0esqDvZtKwxYA_20_19"/>
      <w:bookmarkStart w:id="556" w:name="Tc_Akf0s80VsESs_jzTHJrVCQ_20_16"/>
      <w:bookmarkStart w:id="557" w:name="Tc_K4oO5y_rQU25JeLVg_m3Dg_20_5"/>
      <w:bookmarkStart w:id="558" w:name="Tc_9B2OpvA2-Em_WnkbXVa3dQ_20_2"/>
      <w:bookmarkStart w:id="559" w:name="Tc_QIGfd-VsxUSS4gclAzSEjQ_20_0"/>
      <w:bookmarkStart w:id="560" w:name="Tc_07SnujXoFkGYz66E9nfcKA_19_24"/>
      <w:bookmarkStart w:id="561" w:name="Tc_5vYEZTt9hEytoJvD2quFjg_19_21"/>
      <w:bookmarkStart w:id="562" w:name="Tc_QlrAHV5q10eo5nYiRKv5cQ_19_18"/>
      <w:bookmarkStart w:id="563" w:name="Tc_weaZDhuVzkSq7lzLYuH4sA_19_16"/>
      <w:bookmarkStart w:id="564" w:name="Tc_uiW4Z-alUESneFivVDSuyw_19_15"/>
      <w:bookmarkStart w:id="565" w:name="Tc_tUaymrARd0yuZ4cION3cng_19_12"/>
      <w:bookmarkStart w:id="566" w:name="Tc_2fEETL1-TkK_VOs4kYKt5A_19_9"/>
      <w:bookmarkStart w:id="567" w:name="Tc_pkfc3k4vo06KW2XrYLn4Ng_19_4"/>
      <w:bookmarkStart w:id="568" w:name="Tc_5oAAr5-0Y0i2ATR9x58Dzg_19_0"/>
      <w:bookmarkStart w:id="569" w:name="Tc_833ke6KdeUai5yV2nbOXoA_17_24"/>
      <w:bookmarkStart w:id="570" w:name="Tc_DlCEyqyBa0SHEbHgQ7jTfQ_17_21"/>
      <w:bookmarkStart w:id="571" w:name="Tc_aaNgHG2SfkmJt6ER08Qrlw_17_18"/>
      <w:bookmarkStart w:id="572" w:name="Tc_0Gqjzq0N4E-k99_ZF-LWhw_17_16"/>
      <w:bookmarkStart w:id="573" w:name="Tc_RpyjXcQvmkaNDbTKqq_qMQ_17_15"/>
      <w:bookmarkStart w:id="574" w:name="Tc_y3PrlwD8FUusOeoNhFIF5A_17_12"/>
      <w:bookmarkStart w:id="575" w:name="Tc_ass5kFyrD0q8Fuyg1vNt6w_17_9"/>
      <w:bookmarkStart w:id="576" w:name="Tc_AxcMONIxZkymNZHKIshekA_17_4"/>
      <w:bookmarkStart w:id="577" w:name="Tc_l-F_2msdVUWMpBfj2VqfUQ_17_0"/>
      <w:bookmarkStart w:id="578" w:name="Tc_huOF3IDm3UG8OZjOI4ltmQ_16_19"/>
      <w:bookmarkStart w:id="579" w:name="Tc_VIjRciUI2kaYACPaQzl3MQ_16_16"/>
      <w:bookmarkStart w:id="580" w:name="Tc_gu5GgRmJokmizo1fTMwlqQ_16_13"/>
      <w:bookmarkStart w:id="581" w:name="Tc_ncSdazPuwkW_Lojh5y_BzA_16_10"/>
      <w:bookmarkStart w:id="582" w:name="Tc_Mwgkf5BswEa3pJEZg4mOCQ_16_7"/>
      <w:bookmarkStart w:id="583" w:name="Tc_xaoA-OdatEyFMwrrpfSi6Q_16_5"/>
      <w:bookmarkStart w:id="584" w:name="Tc_QErxgwqj0U2euTGKYrV5CA_16_2"/>
      <w:bookmarkStart w:id="585" w:name="Tc_3e43lk4b5k6rR1CLyvhAGQ_16_0"/>
      <w:bookmarkStart w:id="586" w:name="Tc_Eiie5LrPCEGNWwOy0794Uw_15_22"/>
      <w:bookmarkStart w:id="587" w:name="Tc_OpEoinPblEqr_HL59Akviw_15_16"/>
      <w:bookmarkStart w:id="588" w:name="Tc_p-o0ov4-lkCPOB57dYE53g_15_13"/>
      <w:bookmarkStart w:id="589" w:name="Tc_brM_-lDD8EO07FbKlbUsMg_15_10"/>
      <w:bookmarkStart w:id="590" w:name="Tc_ah28JDjvc0awSss52E1fnA_15_7"/>
      <w:bookmarkStart w:id="591" w:name="Tc_jWmKKCwvskq3Jv9HxzmK2A_15_5"/>
      <w:bookmarkStart w:id="592" w:name="Tc_yAp_TTbF8kmVrkWqJm7AAQ_15_2"/>
      <w:bookmarkStart w:id="593" w:name="Tc_QzDaI_HGgEiDgDcjO8Jmwg_15_0"/>
      <w:bookmarkStart w:id="594" w:name="Tc_YJ0jYmcQ_UWERiwmEq6sUg_14_22"/>
      <w:bookmarkStart w:id="595" w:name="Tc_y4xRRWIgcUKV1BqIps8K9w_14_19"/>
      <w:bookmarkStart w:id="596" w:name="Tc_T75cjNBuwEmcnGAQsG8zhw_14_16"/>
      <w:bookmarkStart w:id="597" w:name="Tc_1_usT1HOG0-acwDtQqtvCw_14_10"/>
      <w:bookmarkStart w:id="598" w:name="Tc_IWqvhCSdoEu4KAi-4wQ_nw_14_7"/>
      <w:bookmarkStart w:id="599" w:name="Tc_Eu3nqfe5Xk-Vqtjv9jgOag_14_5"/>
      <w:bookmarkStart w:id="600" w:name="Tc_Xfc2XQKFiUyYh4_yg3S2-Q_14_2"/>
      <w:bookmarkStart w:id="601" w:name="Tc_7XNCPjthvESro6INdUKtGQ_14_0"/>
      <w:bookmarkStart w:id="602" w:name="Tc_t2VeGiqugk2_vycTMf-GBw_13_25"/>
      <w:bookmarkStart w:id="603" w:name="Tc_i6ynfXbWJkadssZH5OKdXA_13_22"/>
      <w:bookmarkStart w:id="604" w:name="Tc_tWOhrrLxW02zQQONdcfAxA_13_19"/>
      <w:bookmarkStart w:id="605" w:name="Tc_9Vb4UJLAaEyYvPYkojuvPQ_13_16"/>
      <w:bookmarkStart w:id="606" w:name="Tc_k3tCmbm-SUi6M3QD6kRLTw_13_5"/>
      <w:bookmarkStart w:id="607" w:name="Tc_tT3_M41WaEmPrFHJW4YZxg_13_2"/>
      <w:bookmarkStart w:id="608" w:name="Tc__w0ayr7ZtkqYEqGkTWc17g_13_0"/>
      <w:bookmarkStart w:id="609" w:name="Tc_QQCKsGk67kOKDXwr1BWkBA_12_22"/>
      <w:bookmarkStart w:id="610" w:name="Tc_dZ5aDKVU906-c53yq9Dpjg_12_19"/>
      <w:bookmarkStart w:id="611" w:name="Tc_Rc0uro-k00eF0oR4bqWn-g_12_16"/>
      <w:bookmarkStart w:id="612" w:name="Tc_6CGsuzKxikaQRIu6ckS8pg_12_5"/>
      <w:bookmarkStart w:id="613" w:name="Tc_-N6G-BdE0kewzGCiXNlztw_12_2"/>
      <w:bookmarkStart w:id="614" w:name="Tc_73CNp4Fh6UKu60a19YlS4Q_12_0"/>
      <w:bookmarkStart w:id="615" w:name="Tc_oybr-B0RQkiiVhkldLVWfw_11_22"/>
      <w:bookmarkStart w:id="616" w:name="Tc_p1pyiZKSDkCfedgcIrkMeQ_11_19"/>
      <w:bookmarkStart w:id="617" w:name="Tc_pv4VGk_U3U-acwDWf_46dQ_11_16"/>
      <w:bookmarkStart w:id="618" w:name="Tc_ywcaupJKk0STBbXaxm7Fjg_11_0"/>
      <w:bookmarkStart w:id="619" w:name="Tc_ntjD6CY20Ea2wYh1einl8A_10_24"/>
      <w:bookmarkStart w:id="620" w:name="Tc_Kd33cKXb0k6l89Qu9Dj7Pg_10_21"/>
      <w:bookmarkStart w:id="621" w:name="Tc_V8avrjKrQEyCnRHC-DPVUw_10_18"/>
      <w:bookmarkStart w:id="622" w:name="Tc_VEz56PwR4Ue0AOrdorexcA_10_16"/>
      <w:bookmarkStart w:id="623" w:name="Tc_g-7rZA8l3UijzESA9-GXKQ_10_15"/>
      <w:bookmarkStart w:id="624" w:name="Tc_0YGD0jKsn06eu8ey-F_BjA_10_12"/>
      <w:bookmarkStart w:id="625" w:name="Tc_bhU_ANW4JE-8-elXCvOZ1w_10_9"/>
      <w:bookmarkStart w:id="626" w:name="Tc_yX-8jymHHEyVN2kihy6KAw_10_4"/>
      <w:bookmarkStart w:id="627" w:name="Tc_U3JohUIQYUSabGSFouXkuA_10_0"/>
      <w:bookmarkStart w:id="628" w:name="Tc_214AkXzRt0i1AszG112pYw_9_19"/>
      <w:bookmarkStart w:id="629" w:name="Tc_B7PAEWNstkOk_yCxLYPYjA_9_16"/>
      <w:bookmarkStart w:id="630" w:name="Tc_xizqiNssGE2UAIzOL6S2YQ_9_13"/>
      <w:bookmarkStart w:id="631" w:name="Tc_n5Z36INc5ke4lwQiDn9amg_9_10"/>
      <w:bookmarkStart w:id="632" w:name="Tc_dA71kmCvrE20e3DG_y14OA_9_7"/>
      <w:bookmarkStart w:id="633" w:name="Tc_oii7Xm14-E-JTm7bThew-Q_9_5"/>
      <w:bookmarkStart w:id="634" w:name="Tc_GJRmTzqSsUOTfHG8uyDa0A_9_2"/>
      <w:bookmarkStart w:id="635" w:name="Tc_gJ8NydYB80KoJJl68Ax_Cg_9_0"/>
      <w:bookmarkStart w:id="636" w:name="Tc_7u-ODFhmqkC4vfHb4GUwZA_8_22"/>
      <w:bookmarkStart w:id="637" w:name="Tc_ut5izKCk0km58Ho_4jh-Zw_8_16"/>
      <w:bookmarkStart w:id="638" w:name="Tc_lgetJfNwiEqoBGv8CWVuIg_8_13"/>
      <w:bookmarkStart w:id="639" w:name="Tc_2G_6M6HOrk2V30eyJ3399A_8_10"/>
      <w:bookmarkStart w:id="640" w:name="Tc_qMbLn4-CbUyz4vczJst-2Q_8_7"/>
      <w:bookmarkStart w:id="641" w:name="Tc_sOeDbq261kOC5IUyCjSJfg_8_5"/>
      <w:bookmarkStart w:id="642" w:name="Tc_Kaxb-WGnxkuno7xz4EcCtA_8_2"/>
      <w:bookmarkStart w:id="643" w:name="Tc_AdTyhenoAUyrRmLiaE8Z-w_8_0"/>
      <w:bookmarkStart w:id="644" w:name="Tc_4mGS70mB2Uab8c-ndIgesA_7_22"/>
      <w:bookmarkStart w:id="645" w:name="Tc_pR7kELYDu0imjuKVR3KURA_7_19"/>
      <w:bookmarkStart w:id="646" w:name="Tc_G5rlnARxMUycVuTSUvBLpw_7_16"/>
      <w:bookmarkStart w:id="647" w:name="Tc_MHYCNLueLEidfZxNaLGcnQ_7_10"/>
      <w:bookmarkStart w:id="648" w:name="Tc_kX3EX0YVNU-obNZyBsdBrw_7_7"/>
      <w:bookmarkStart w:id="649" w:name="Tc_5ypV0QV0qUiS9dYR8T-FlQ_7_5"/>
      <w:bookmarkStart w:id="650" w:name="Tc_Km_wTQ-ki06b1vZRmH13Gg_7_2"/>
      <w:bookmarkStart w:id="651" w:name="Tc_Ih8LL9CRJ06LGmfyPqiekA_7_0"/>
      <w:bookmarkStart w:id="652" w:name="Tc_1Fk0ua_5yU27Yn0wsq-6RA_6_25"/>
      <w:bookmarkStart w:id="653" w:name="Tc_BXA33r4-xkacCLksY_z5Eg_6_22"/>
      <w:bookmarkStart w:id="654" w:name="Tc_DGsbVIAU2k-7IGcfw5WuOA_6_19"/>
      <w:bookmarkStart w:id="655" w:name="Tc_cBSKisESaUCf9In5lsZp9g_6_16"/>
      <w:bookmarkStart w:id="656" w:name="Tc_21dDRwoKq0eBxCs0jC808A_6_5"/>
      <w:bookmarkStart w:id="657" w:name="Tc_jocT2w_uqEqaSc1ZWTZLFA_6_2"/>
      <w:bookmarkStart w:id="658" w:name="Tc_8mYZGp1Mwku3XWCAElADRA_6_0"/>
      <w:bookmarkStart w:id="659" w:name="Tc_R57pmI84tECE4qEcJhNsNA_5_22"/>
      <w:bookmarkStart w:id="660" w:name="Tc_3-88ScpbKkKH4rlyxOk7Bg_5_19"/>
      <w:bookmarkStart w:id="661" w:name="Tc_O5PDYLU8ukOpjD1h4ZbfHg_5_16"/>
      <w:bookmarkStart w:id="662" w:name="Tc_JbBxQ3P0NUeChlleuDhHPA_5_5"/>
      <w:bookmarkStart w:id="663" w:name="Tc_5clLTo3UxkyWUFZ7JvMkZg_5_2"/>
      <w:bookmarkStart w:id="664" w:name="Tc_QYpXYmk340K_awbIdbknuA_5_0"/>
      <w:bookmarkStart w:id="665" w:name="Tc_yQTzGaExIEK-uxEr8r1Z9A_4_24"/>
      <w:bookmarkStart w:id="666" w:name="Tc_FcmwNw59BEaVtQzOiwlj8w_4_21"/>
      <w:bookmarkStart w:id="667" w:name="Tc_1AFC8QmO90Sy-IysRviJpQ_4_18"/>
      <w:bookmarkStart w:id="668" w:name="Tc_U6wUfLbcKUCB7EeD1ne53w_4_16"/>
      <w:bookmarkStart w:id="669" w:name="Tc_WCElhHt4j0KS2hNdW9VpNA_4_15"/>
      <w:bookmarkStart w:id="670" w:name="Tc_NKHDJN14rEa8HaFJXeSGAQ_4_12"/>
      <w:bookmarkStart w:id="671" w:name="Tc_Q8yQzo8QLkKIHsKhzeM5kg_4_9"/>
      <w:bookmarkStart w:id="672" w:name="Tc_jlJ8KIhBY0ar1NGOYU6ucA_4_4"/>
      <w:bookmarkStart w:id="673" w:name="Tc_5szuiDzWxUi9AGa4Vx1fEQ_4_0"/>
      <w:bookmarkStart w:id="674" w:name="Tc_bqgXWhVgY0K26Yy0z3Ru6A_3_25"/>
      <w:bookmarkStart w:id="675" w:name="Tc_e4jOQcRSDUiuB4XhItiYWQ_3_21"/>
      <w:bookmarkStart w:id="676" w:name="Tc_DVm4569PQUyd6qXVT0mjtA_3_18"/>
      <w:bookmarkStart w:id="677" w:name="Tc_HtjWkQ_n_ECIMv_UnTUk7A_3_15"/>
      <w:bookmarkStart w:id="678" w:name="Tc_d9J4LSls1kyRZUf12mF2EA_3_12"/>
      <w:bookmarkStart w:id="679" w:name="Tc__CwXeob8wkeEb96YQPKc_Q_3_9"/>
      <w:bookmarkStart w:id="680" w:name="Tc_q903xbxMkkW18FELWAOv1w_3_7"/>
      <w:bookmarkStart w:id="681" w:name="Tc_Vl9YVIG0dUumULBgPVxPVw_3_4"/>
      <w:bookmarkStart w:id="682" w:name="Tc_jVhF5UsMxUGtUhr5nXU57w_3_2"/>
      <w:bookmarkStart w:id="683" w:name="Tc_VSxwfU_UMUys9iV1kDMxjw_2_24"/>
      <w:bookmarkStart w:id="684" w:name="Tc_0lpfH3_aMUa2Yl6oYpAZKw_2_21"/>
      <w:bookmarkStart w:id="685" w:name="Tc_5K0FEh3DAUO6lMmuz7ZIdA_2_18"/>
      <w:bookmarkStart w:id="686" w:name="Tc_Li7nZd3v7keBgzfxcysyYw_2_15"/>
      <w:bookmarkStart w:id="687" w:name="Tc_gYynXXDqVE-TJKIYcRb-QQ_2_12"/>
      <w:bookmarkStart w:id="688" w:name="Tc_FJY-o7m9t0SbKiZlBYgTPg_2_7"/>
      <w:bookmarkStart w:id="689" w:name="Tc_zr8YD2UzaEK3sUHyyTmuJw_2_2"/>
      <w:bookmarkStart w:id="690" w:name="Tc_mVMQ9WlhOUug9KZ9QTO5HA_1_18"/>
      <w:bookmarkStart w:id="691" w:name="Tc_kP2kA6sPcUWx6hB9_xct9g_1_12"/>
      <w:bookmarkStart w:id="692" w:name="_3a84d363_42ee_4c4a_86ec_529867559813"/>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tbl>
      <w:tblPr>
        <w:tblW w:w="10659" w:type="dxa"/>
        <w:jc w:val="left"/>
        <w:tblInd w:w="0" w:type="dxa"/>
        <w:tblLayout w:type="fixed"/>
        <w:tblCellMar>
          <w:top w:w="0" w:type="dxa"/>
          <w:left w:w="0" w:type="dxa"/>
          <w:bottom w:w="0" w:type="dxa"/>
          <w:right w:w="0" w:type="dxa"/>
        </w:tblCellMar>
      </w:tblPr>
      <w:tblGrid>
        <w:gridCol w:w="796"/>
        <w:gridCol w:w="346"/>
        <w:gridCol w:w="481"/>
        <w:gridCol w:w="346"/>
        <w:gridCol w:w="166"/>
        <w:gridCol w:w="586"/>
        <w:gridCol w:w="346"/>
        <w:gridCol w:w="646"/>
        <w:gridCol w:w="346"/>
        <w:gridCol w:w="166"/>
        <w:gridCol w:w="436"/>
        <w:gridCol w:w="346"/>
        <w:gridCol w:w="166"/>
        <w:gridCol w:w="706"/>
        <w:gridCol w:w="346"/>
        <w:gridCol w:w="166"/>
        <w:gridCol w:w="570"/>
        <w:gridCol w:w="346"/>
        <w:gridCol w:w="195"/>
        <w:gridCol w:w="691"/>
        <w:gridCol w:w="346"/>
        <w:gridCol w:w="166"/>
        <w:gridCol w:w="751"/>
        <w:gridCol w:w="346"/>
        <w:gridCol w:w="166"/>
        <w:gridCol w:w="691"/>
      </w:tblGrid>
      <w:tr>
        <w:trPr/>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5460" cy="175260"/>
                      <wp:effectExtent l="0" t="0" r="0" b="0"/>
                      <wp:wrapNone/>
                      <wp:docPr id="20" name="Frame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05435" cy="175260"/>
                      <wp:effectExtent l="0" t="0" r="0" b="0"/>
                      <wp:wrapNone/>
                      <wp:docPr id="22" name="Frame2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05410" cy="175260"/>
                      <wp:effectExtent l="0" t="0" r="0" b="0"/>
                      <wp:wrapNone/>
                      <wp:docPr id="24" name="Frame2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72110" cy="175260"/>
                      <wp:effectExtent l="0" t="0" r="0" b="0"/>
                      <wp:wrapNone/>
                      <wp:docPr id="25" name="Frame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10210" cy="175260"/>
                      <wp:effectExtent l="0" t="0" r="0" b="0"/>
                      <wp:wrapNone/>
                      <wp:docPr id="27" name="Frame2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410" cy="175260"/>
                      <wp:effectExtent l="0" t="0" r="0" b="0"/>
                      <wp:wrapNone/>
                      <wp:docPr id="29" name="Frame2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76860" cy="175260"/>
                      <wp:effectExtent l="0" t="0" r="0" b="0"/>
                      <wp:wrapNone/>
                      <wp:docPr id="30" name="Frame3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5410" cy="175260"/>
                      <wp:effectExtent l="0" t="0" r="0" b="0"/>
                      <wp:wrapNone/>
                      <wp:docPr id="32" name="Frame3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48310" cy="175260"/>
                      <wp:effectExtent l="0" t="0" r="0" b="0"/>
                      <wp:wrapNone/>
                      <wp:docPr id="33" name="Frame3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5410" cy="175260"/>
                      <wp:effectExtent l="0" t="0" r="0" b="0"/>
                      <wp:wrapNone/>
                      <wp:docPr id="35" name="Frame3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1950" cy="175260"/>
                      <wp:effectExtent l="0" t="0" r="0" b="0"/>
                      <wp:wrapNone/>
                      <wp:docPr id="36" name="Frame36"/>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3825" cy="175260"/>
                      <wp:effectExtent l="0" t="0" r="0" b="0"/>
                      <wp:wrapNone/>
                      <wp:docPr id="38" name="Frame38"/>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5410" cy="175260"/>
                      <wp:effectExtent l="0" t="0" r="0" b="0"/>
                      <wp:wrapNone/>
                      <wp:docPr id="41" name="Frame4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76885" cy="175260"/>
                      <wp:effectExtent l="0" t="0" r="0" b="0"/>
                      <wp:wrapNone/>
                      <wp:docPr id="42" name="Frame4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05410" cy="175260"/>
                      <wp:effectExtent l="0" t="0" r="0" b="0"/>
                      <wp:wrapNone/>
                      <wp:docPr id="44" name="Frame4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785" cy="175260"/>
                      <wp:effectExtent l="0" t="0" r="0" b="0"/>
                      <wp:wrapNone/>
                      <wp:docPr id="45"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 other</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Series A Convertible Preferred Stock</w:t>
            </w:r>
          </w:p>
        </w:tc>
        <w:tc>
          <w:tcPr>
            <w:tcW w:w="346" w:type="dxa"/>
            <w:tcBorders/>
            <w:vAlign w:val="center"/>
          </w:tcPr>
          <w:p>
            <w:pPr>
              <w:pStyle w:val="TableContents"/>
              <w:bidi w:val="0"/>
              <w:spacing w:before="0" w:after="0"/>
              <w:ind w:left="0" w:right="0" w:hanging="0"/>
              <w:jc w:val="left"/>
              <w:rPr/>
            </w:pPr>
            <w:r>
              <w:rPr/>
              <w:t>​</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b/>
                <w:sz w:val="12"/>
              </w:rPr>
              <w:t>Paid</w:t>
            </w:r>
            <w:r>
              <w:rPr>
                <w:rFonts w:ascii="Times New Roman;Times;serif" w:hAnsi="Times New Roman;Times;serif"/>
                <w:sz w:val="12"/>
              </w:rPr>
              <w:noBreakHyphen/>
            </w:r>
            <w:r>
              <w:rPr>
                <w:rFonts w:ascii="Times New Roman;Times;serif" w:hAnsi="Times New Roman;Times;serif"/>
                <w:b/>
                <w:sz w:val="12"/>
              </w:rPr>
              <w:t>in</w:t>
            </w:r>
          </w:p>
        </w:tc>
        <w:tc>
          <w:tcPr>
            <w:tcW w:w="346"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Subscription</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 stockholders’</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 ​ ​</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Receivable</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left"/>
              <w:rPr/>
            </w:pPr>
            <w:r>
              <w:rPr/>
              <w:t>  ​ ​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56,227</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1,311,063</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5,481,055</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5,481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350,971,225</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(10,627,379)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(321,041,872)</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19,307,455</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pursuant to at-the-market stock sales, net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22,406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55,826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55,849</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9,195</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w:t>
              <w:noBreakHyphen/>
              <w:t>based compensation</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118,634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118,634</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(3,932,659)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(3,932,659)</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56,227</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1,311,063</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5,512,656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5,513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351,145,676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(10,626,736)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(324,974,531)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15,549,922</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Conversion of preferred stock to common stock</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(25,033)</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(583,702)</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12,516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583,690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583,702</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pursuant to at-the-market stock sales, net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220,733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384,658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384,879</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stock units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6,270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w:t>
              <w:noBreakHyphen/>
              <w:t>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136,729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136,729</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(1,681)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(1,681)</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(3,238,870)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(3,238,870)</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June 30, 2025</w:t>
            </w:r>
          </w:p>
        </w:tc>
        <w:tc>
          <w:tcPr>
            <w:tcW w:w="34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31,194</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727,361</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5,752,175</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5,752</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352,250,747</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(10,628,417)</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(328,213,401)</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13,414,681</w:t>
            </w:r>
          </w:p>
        </w:tc>
      </w:tr>
      <w:tr>
        <w:trPr/>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December 31, 2025</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31,194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727,361</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8,192,538</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8,192</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356,709,645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(10,634,714)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(333,641,441)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12,441,682</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and pre-funded warrants, net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1,877,677</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1,878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32,322,655</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32,324,533</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for subscription receivable</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499,999</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(499,999)</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12,560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pre-funded warrants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1,900,001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w:t>
              <w:noBreakHyphen/>
              <w:t>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101,068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101,068</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9,014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9,014</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(3,287,917)</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(3,287,917)</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March 31, 2026</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31,194</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727,361</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11,982,776</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11,983</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389,631,454</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(499,999)</w:t>
            </w:r>
          </w:p>
        </w:tc>
        <w:tc>
          <w:tcPr>
            <w:tcW w:w="346" w:type="dxa"/>
            <w:tcBorders/>
            <w:vAlign w:val="center"/>
          </w:tcPr>
          <w:p>
            <w:pPr>
              <w:pStyle w:val="TableContents"/>
              <w:bidi w:val="0"/>
              <w:spacing w:before="0" w:after="0"/>
              <w:ind w:left="0" w:right="0" w:hanging="0"/>
              <w:jc w:val="left"/>
              <w:rPr/>
            </w:pPr>
            <w:r>
              <w:rPr/>
              <w:t>​</w:t>
            </w:r>
          </w:p>
        </w:tc>
        <w:tc>
          <w:tcPr>
            <w:tcW w:w="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(10,625,700)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(336,929,358)</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41,588,380</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costs and receipt of subscription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(138,090)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499,999</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361,909</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stock units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8,360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w:t>
              <w:noBreakHyphen/>
              <w:t>based compensation</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103,193</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103,193</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8,083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8,083</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(3,591,304)</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(3,591,304)</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31,194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727,361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12,391,136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12,391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389,596,149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(10,617,617)</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(340,520,662)</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38,470,261</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93" w:name="_47564196_5d71_4ab4_bf0a_55b992e5cbba"/>
      <w:bookmarkEnd w:id="693"/>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94" w:name="Tc_TSdM_9FvxEChLTaABW5KSg_32_5"/>
      <w:bookmarkStart w:id="695" w:name="Tc_vdjDCkUPTUmv2i3c8NBMjw_32_3"/>
      <w:bookmarkStart w:id="696" w:name="Tc_jYyQLVAL7EqdmS4ATSMYEQ_32_2"/>
      <w:bookmarkStart w:id="697" w:name="Tc_Q-1A7smZv0euV5Tf26jjVg_32_0"/>
      <w:bookmarkStart w:id="698" w:name="Tc_03vTEisnyEuuPpEciRgETw_31_0"/>
      <w:bookmarkStart w:id="699" w:name="Tc_b0rCm7IFdk690iNJin2mYA_29_5"/>
      <w:bookmarkStart w:id="700" w:name="Tc_ytIXi6JT5Ei99YIcsvDLyQ_29_2"/>
      <w:bookmarkStart w:id="701" w:name="Tc_FFK0AFdJxkC-WKvj_qAjHg_29_0"/>
      <w:bookmarkStart w:id="702" w:name="Tc_f48knlbL702ar16nOrUXeQ_28_0"/>
      <w:bookmarkStart w:id="703" w:name="Tc_kS75vUZh0kGqIyHCOnr0sA_27_5"/>
      <w:bookmarkStart w:id="704" w:name="Tc_rF5CkBcbMU2glJMaYOLFmw_27_2"/>
      <w:bookmarkStart w:id="705" w:name="Tc_D5B65zhpZE6r5xWPNGtR4g_27_0"/>
      <w:bookmarkStart w:id="706" w:name="Tc_ruqojOHGokG9Lp25wgDvZg_26_0"/>
      <w:bookmarkStart w:id="707" w:name="Tc_z036qA7xYUKfjY0Lf1tvsg_24_5"/>
      <w:bookmarkStart w:id="708" w:name="Tc_dNxb3B1iXEipfVS7_UaLkQ_24_2"/>
      <w:bookmarkStart w:id="709" w:name="Tc_jrOg3aZSbEKAvKWKVwaAZQ_24_0"/>
      <w:bookmarkStart w:id="710" w:name="Tc_OCTnBfZMC0mL8c80J-ZvbA_23_0"/>
      <w:bookmarkStart w:id="711" w:name="Tc_q5EshO_nQ0eWdmEoWROlgg_22_0"/>
      <w:bookmarkStart w:id="712" w:name="Tc_0YmKDGAVT0mvLZatl2gwNA_21_0"/>
      <w:bookmarkStart w:id="713" w:name="Tc_yaBC6eo2Hk-aSyjv3ikV5Q_20_0"/>
      <w:bookmarkStart w:id="714" w:name="Tc_UqHJlXQ-Q06fU4w1sWVtag_19_0"/>
      <w:bookmarkStart w:id="715" w:name="Tc_j7-Mx_vNq0O-GSg0LMlUEA_18_0"/>
      <w:bookmarkStart w:id="716" w:name="Tc_1ONpYF_kGk-vm7cOT5Rsuw_17_0"/>
      <w:bookmarkStart w:id="717" w:name="Tc_CA3sfB9jzUaO2vvlY_qDsw_16_6"/>
      <w:bookmarkStart w:id="718" w:name="Tc_vZcSollmEE-JhM7TnuUgPw_16_0"/>
      <w:bookmarkStart w:id="719" w:name="Tc_L4bdO8P-M0-bDOqStFhkVw_15_6"/>
      <w:bookmarkStart w:id="720" w:name="Tc_YZUGI2juPEm6bl7esQtrIA_15_0"/>
      <w:bookmarkStart w:id="721" w:name="Tc_8H40uOP_JE-dRT4Yw3AMLQ_14_0"/>
      <w:bookmarkStart w:id="722" w:name="Tc_3PjyouOEAkSzyIeq2EFJFw_13_0"/>
      <w:bookmarkStart w:id="723" w:name="Tc_vcyyVy1bTkmFS6AJV1f7eQ_12_0"/>
      <w:bookmarkStart w:id="724" w:name="Tc_2PvnDPsGuk-rq8az_-O1pw_11_0"/>
      <w:bookmarkStart w:id="725" w:name="Tc_-su-ffIa7U64Ar0p4OCm4Q_10_0"/>
      <w:bookmarkStart w:id="726" w:name="Tc_aVuz5BzZa0eqeS_GSYsLJA_9_0"/>
      <w:bookmarkStart w:id="727" w:name="Tc_4fFd1kppckGsPkRqlvxISg_8_0"/>
      <w:bookmarkStart w:id="728" w:name="Tc_SmsSeiXlck6npQjrkNmIPA_7_0"/>
      <w:bookmarkStart w:id="729" w:name="Tc_xmMhgW1Bk02i--R_Y9J0CA_6_0"/>
      <w:bookmarkStart w:id="730" w:name="Tc_VScgGAsli0iKicSIiB_qlw_5_0"/>
      <w:bookmarkStart w:id="731" w:name="Tc_lExGJM4fRU-XOIz7ibl4tg_4_5"/>
      <w:bookmarkStart w:id="732" w:name="Tc_giYRj3KNLkakO8QWsJyW0g_4_2"/>
      <w:bookmarkStart w:id="733" w:name="Tc_r5LXVI5CuE6HD9WonWzmzA_4_0"/>
      <w:bookmarkStart w:id="734" w:name="Tc_QnMzf69gC0-aZmFESvJhkQ_3_0"/>
      <w:bookmarkStart w:id="735" w:name="Tc_3bAjDKb8BEayfZIUrtl2nw_2_5"/>
      <w:bookmarkStart w:id="736" w:name="Tc_yHe3N_ImWEi0XcY_xR5CkQ_2_2"/>
      <w:bookmarkStart w:id="737" w:name="Tc_70vWu4W83Uu5trImeC153Q_1_2"/>
      <w:bookmarkStart w:id="738" w:name="_4c190804_d140_4231_a9d8_23a563a01004"/>
      <w:bookmarkStart w:id="739" w:name="Tc_TSdM_9FvxEChLTaABW5KSg_32_5"/>
      <w:bookmarkStart w:id="740" w:name="Tc_vdjDCkUPTUmv2i3c8NBMjw_32_3"/>
      <w:bookmarkStart w:id="741" w:name="Tc_jYyQLVAL7EqdmS4ATSMYEQ_32_2"/>
      <w:bookmarkStart w:id="742" w:name="Tc_Q-1A7smZv0euV5Tf26jjVg_32_0"/>
      <w:bookmarkStart w:id="743" w:name="Tc_03vTEisnyEuuPpEciRgETw_31_0"/>
      <w:bookmarkStart w:id="744" w:name="Tc_b0rCm7IFdk690iNJin2mYA_29_5"/>
      <w:bookmarkStart w:id="745" w:name="Tc_ytIXi6JT5Ei99YIcsvDLyQ_29_2"/>
      <w:bookmarkStart w:id="746" w:name="Tc_FFK0AFdJxkC-WKvj_qAjHg_29_0"/>
      <w:bookmarkStart w:id="747" w:name="Tc_f48knlbL702ar16nOrUXeQ_28_0"/>
      <w:bookmarkStart w:id="748" w:name="Tc_kS75vUZh0kGqIyHCOnr0sA_27_5"/>
      <w:bookmarkStart w:id="749" w:name="Tc_rF5CkBcbMU2glJMaYOLFmw_27_2"/>
      <w:bookmarkStart w:id="750" w:name="Tc_D5B65zhpZE6r5xWPNGtR4g_27_0"/>
      <w:bookmarkStart w:id="751" w:name="Tc_ruqojOHGokG9Lp25wgDvZg_26_0"/>
      <w:bookmarkStart w:id="752" w:name="Tc_z036qA7xYUKfjY0Lf1tvsg_24_5"/>
      <w:bookmarkStart w:id="753" w:name="Tc_dNxb3B1iXEipfVS7_UaLkQ_24_2"/>
      <w:bookmarkStart w:id="754" w:name="Tc_jrOg3aZSbEKAvKWKVwaAZQ_24_0"/>
      <w:bookmarkStart w:id="755" w:name="Tc_OCTnBfZMC0mL8c80J-ZvbA_23_0"/>
      <w:bookmarkStart w:id="756" w:name="Tc_q5EshO_nQ0eWdmEoWROlgg_22_0"/>
      <w:bookmarkStart w:id="757" w:name="Tc_0YmKDGAVT0mvLZatl2gwNA_21_0"/>
      <w:bookmarkStart w:id="758" w:name="Tc_yaBC6eo2Hk-aSyjv3ikV5Q_20_0"/>
      <w:bookmarkStart w:id="759" w:name="Tc_UqHJlXQ-Q06fU4w1sWVtag_19_0"/>
      <w:bookmarkStart w:id="760" w:name="Tc_j7-Mx_vNq0O-GSg0LMlUEA_18_0"/>
      <w:bookmarkStart w:id="761" w:name="Tc_1ONpYF_kGk-vm7cOT5Rsuw_17_0"/>
      <w:bookmarkStart w:id="762" w:name="Tc_CA3sfB9jzUaO2vvlY_qDsw_16_6"/>
      <w:bookmarkStart w:id="763" w:name="Tc_vZcSollmEE-JhM7TnuUgPw_16_0"/>
      <w:bookmarkStart w:id="764" w:name="Tc_L4bdO8P-M0-bDOqStFhkVw_15_6"/>
      <w:bookmarkStart w:id="765" w:name="Tc_YZUGI2juPEm6bl7esQtrIA_15_0"/>
      <w:bookmarkStart w:id="766" w:name="Tc_8H40uOP_JE-dRT4Yw3AMLQ_14_0"/>
      <w:bookmarkStart w:id="767" w:name="Tc_3PjyouOEAkSzyIeq2EFJFw_13_0"/>
      <w:bookmarkStart w:id="768" w:name="Tc_vcyyVy1bTkmFS6AJV1f7eQ_12_0"/>
      <w:bookmarkStart w:id="769" w:name="Tc_2PvnDPsGuk-rq8az_-O1pw_11_0"/>
      <w:bookmarkStart w:id="770" w:name="Tc_-su-ffIa7U64Ar0p4OCm4Q_10_0"/>
      <w:bookmarkStart w:id="771" w:name="Tc_aVuz5BzZa0eqeS_GSYsLJA_9_0"/>
      <w:bookmarkStart w:id="772" w:name="Tc_4fFd1kppckGsPkRqlvxISg_8_0"/>
      <w:bookmarkStart w:id="773" w:name="Tc_SmsSeiXlck6npQjrkNmIPA_7_0"/>
      <w:bookmarkStart w:id="774" w:name="Tc_xmMhgW1Bk02i--R_Y9J0CA_6_0"/>
      <w:bookmarkStart w:id="775" w:name="Tc_VScgGAsli0iKicSIiB_qlw_5_0"/>
      <w:bookmarkStart w:id="776" w:name="Tc_lExGJM4fRU-XOIz7ibl4tg_4_5"/>
      <w:bookmarkStart w:id="777" w:name="Tc_giYRj3KNLkakO8QWsJyW0g_4_2"/>
      <w:bookmarkStart w:id="778" w:name="Tc_r5LXVI5CuE6HD9WonWzmzA_4_0"/>
      <w:bookmarkStart w:id="779" w:name="Tc_QnMzf69gC0-aZmFESvJhkQ_3_0"/>
      <w:bookmarkStart w:id="780" w:name="Tc_3bAjDKb8BEayfZIUrtl2nw_2_5"/>
      <w:bookmarkStart w:id="781" w:name="Tc_yHe3N_ImWEi0XcY_xR5CkQ_2_2"/>
      <w:bookmarkStart w:id="782" w:name="Tc_70vWu4W83Uu5trImeC153Q_1_2"/>
      <w:bookmarkStart w:id="783" w:name="_4c190804_d140_4231_a9d8_23a563a01004"/>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tbl>
      <w:tblPr>
        <w:tblW w:w="9355" w:type="dxa"/>
        <w:jc w:val="left"/>
        <w:tblInd w:w="0" w:type="dxa"/>
        <w:tblLayout w:type="fixed"/>
        <w:tblCellMar>
          <w:top w:w="0" w:type="dxa"/>
          <w:left w:w="0" w:type="dxa"/>
          <w:bottom w:w="0" w:type="dxa"/>
          <w:right w:w="0" w:type="dxa"/>
        </w:tblCellMar>
      </w:tblPr>
      <w:tblGrid>
        <w:gridCol w:w="6331"/>
        <w:gridCol w:w="346"/>
        <w:gridCol w:w="211"/>
        <w:gridCol w:w="1051"/>
        <w:gridCol w:w="109"/>
        <w:gridCol w:w="211"/>
        <w:gridCol w:w="1096"/>
      </w:tblGrid>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7385" cy="175260"/>
                      <wp:effectExtent l="0" t="0" r="0" b="0"/>
                      <wp:wrapNone/>
                      <wp:docPr id="48" name="Frame4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5960" cy="175260"/>
                      <wp:effectExtent l="0" t="0" r="0" b="0"/>
                      <wp:wrapNone/>
                      <wp:docPr id="51" name="Frame5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(6,879,221)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(7,171,529)</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10,857</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w:t>
              <w:noBreakHyphen/>
              <w:t>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255,363</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80,927</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and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347,749</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(161,605)</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(123,679)</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(6,035,489)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(6,761,917)</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35,598,881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459,019</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(2,912,439)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(18,291)</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32,686,442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440,728</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26,634,510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(6,317,183)</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14,640,533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22,890,055</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41,275,043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16,572,872</w:t>
            </w:r>
          </w:p>
        </w:tc>
      </w:tr>
      <w:tr>
        <w:trPr/>
        <w:tc>
          <w:tcPr>
            <w:tcW w:w="63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41,233,428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16,532,199</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40,673</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41,275,043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16,572,872</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Series A convertible preferred stock to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583,702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 and 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—Aprea Therapeutics, Inc. (the “Company”) is a clinical-stage precision medicine oncology company focused on the discovery and development of targeted therapies for patients with biomarker-defined cancers. The Company began principal operations in 2006 and is headquartered in Doylestown, Pennsylvania. The Company’s two clinical programs are a next-generation oral inhibitor of the WEE1 kinase, APR-1051, and our novel oral macrocyclic ATR inhibitor, ATRN-119. We have closed the ABOYA-119 Phase I study with ATRN-119 as we explore development opportunities for ATRN-119 in potential combination approaches. Both programs are the cornerstones of our pipeline of synthetic lethality-based cancer therapeutics and were internally discovered, developed, and evaluated by our dedicated team of chemists, scientists, and clinicians.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Basis of presentation and management plans</w:t>
      </w:r>
      <w:r>
        <w:rPr>
          <w:rFonts w:ascii="Times New Roman;Times;serif" w:hAnsi="Times New Roman;Times;serif"/>
          <w:sz w:val="20"/>
        </w:rPr>
        <w:t>—The accompanying financial statements are prepared in conformity with accounting principles generally accepted in the United States (“U.S. GAAP”). The accompanying financial statements have been prepared on a going concern basis, which contemplates the realization of assets and the satisfaction of liabilities in the normal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its inception, the Company has devoted substantially all of its efforts to business planning, clinical operations, research and development, recruiting management and technical staff and raising capital and has financed its operations through the issuance of convertible preferred stock and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risks common to companies in the biopharmaceutical industry.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Based on its current operating plan, the Company believes that its June 30, 2026 cash balance of approximately $41.2 million will be sufficient to fund the Company’s operating expenses and capital expenditure requirements into the first quarter of 2028.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complete listing of significant accounting policies are described in Note 2 to the Company's audited consolidated financial statements as of December 31, 2025 included in its annual report on Form 10-K filed with the Securities and Exchange Commission (the “SEC”) on March 16, 2026 (the “2025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Principles of consolidation</w:t>
      </w:r>
      <w:r>
        <w:rPr>
          <w:rFonts w:ascii="Times New Roman;Times;serif" w:hAnsi="Times New Roman;Times;serif"/>
          <w:sz w:val="20"/>
        </w:rPr>
        <w:t xml:space="preserve">—The consolidated financial statements include the accounts of the Company and its wholly owned subsidiaries Aprea Therapeutics AB, which was incorporated in May 2002, Aprea US, Inc., which was incorporated in June 2016 and ATR Pharmaceuticals LLC which was incorporated in May 2022. Management has concluded it has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reporting segment for purposes of reporting financial condition and results of operations. All intercompany transactions and balances have been eliminated.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Unaudited interim consolidated financial statements</w:t>
      </w:r>
      <w:r>
        <w:rPr>
          <w:rFonts w:ascii="Times New Roman;Times;serif" w:hAnsi="Times New Roman;Times;serif"/>
          <w:sz w:val="20"/>
        </w:rPr>
        <w:t>—The accompanying unaudited interim condensed consolidated financial statements have been prepared by the Company in accordance with U.S. GAAP for interim information and pursuant to the rules and regulations of the SEC for reporting on Form 10-Q. Accordingly, certain information and footnote disclosure normally included in financial statements prepared in accordance with U.S. GAAP have been condensed or omitted pursuant to such rules and regulations. These unaudited condensed interim financial statements should be read in conjunction with the audited financial statements and related notes included in the 2025 Form 10-K.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unaudited interim consolidated financial statements have been prepared on the same basis as the audited consolidated financial statements, and in management’s opinion, include all adjustments, consisting of only normal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recurring adjustments, necessary for the fair presentation of the financial information for the interim periods have been made. The results of operations for the three and six months ended June 30, 2026 are not necessarily indicative of the results to be expected for the full fiscal year or any future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Use of estimates</w:t>
      </w:r>
      <w:r>
        <w:rPr>
          <w:rFonts w:ascii="Times New Roman;Times;serif" w:hAnsi="Times New Roman;Times;serif"/>
          <w:sz w:val="20"/>
        </w:rPr>
        <w:t>—The preparation of financial statements in conformity with U.S. GAAP requires management to make estimates and assumptions that affect the reported amounts of assets, liabilities, revenue, and expenses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items subject to such estimates and assumptions, are used for, but not limited to, accounting for research and development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Foreign currency and currency translation</w:t>
      </w:r>
      <w:r>
        <w:rPr>
          <w:rFonts w:ascii="Times New Roman;Times;serif" w:hAnsi="Times New Roman;Times;serif"/>
          <w:sz w:val="20"/>
        </w:rPr>
        <w:t>—The functional currency for Aprea Therapeutics AB is the Swedish Krona. Assets and liabilities of Aprea Therapeutics AB are translated into United States dollars at the exchange rate in effect on the balance sheet date. Operating expenses are translated at the average exchange rate in effect during the period. Unrealized translation gains and losses are recorded as a cumulative translation adjustment, which is included in the condensed consolidated statements of convertible preferred stock and stockholders’ equity as a component of accumulated other comprehensive loss. Adjustments that arise from exchange rate changes on transactions denominated in a currency other than the local currency are included in other income, net in the condensed consolidated statements of operations and comprehensive loss as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Cash and cash equivalents— </w:t>
      </w:r>
      <w:r>
        <w:rPr>
          <w:rFonts w:ascii="Times New Roman;Times;serif" w:hAnsi="Times New Roman;Times;serif"/>
          <w:sz w:val="20"/>
        </w:rPr>
        <w:t>The Company considers all highly liquid investments with original maturities of three months or less at the date of purchase to be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Restricted cash— </w:t>
      </w:r>
      <w:r>
        <w:rPr>
          <w:rFonts w:ascii="Times New Roman;Times;serif" w:hAnsi="Times New Roman;Times;serif"/>
          <w:sz w:val="20"/>
        </w:rPr>
        <w:t>The Company has restricted cash of $41,615 and $41,186 as of June 30, 2026 and December 31, 2025, respectively, that is securing the Company’s credit card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Fair value of financial instruments</w:t>
      </w:r>
      <w:r>
        <w:rPr>
          <w:rFonts w:ascii="Times New Roman;Times;serif" w:hAnsi="Times New Roman;Times;serif"/>
          <w:sz w:val="20"/>
        </w:rPr>
        <w:t>—The accounting standard for fair value measurements provides a framework for measuring fair value and requires expanded disclosures regarding fair value measurements. Fair value is defined as the price that would be received upon sale of an asset or paid to transfer a liability between market participants at measurement dates. ASC Topic 820, Fair Value Measurement (“ASC 820”), establishes a three-level valuation hierarchy for instruments measured at fair value. The hierarchy is based on the transparency of inputs to the valuation of an asset or liability as of the measurement date. The hierarchy defines three levels of valuation inputs, of which the first two are considered observable and the last is considered unobservable:</w:t>
      </w:r>
    </w:p>
    <w:tbl>
      <w:tblPr>
        <w:tblW w:w="6872" w:type="dxa"/>
        <w:jc w:val="left"/>
        <w:tblInd w:w="0" w:type="dxa"/>
        <w:tblLayout w:type="fixed"/>
        <w:tblCellMar>
          <w:top w:w="0" w:type="dxa"/>
          <w:left w:w="0" w:type="dxa"/>
          <w:bottom w:w="0" w:type="dxa"/>
          <w:right w:w="0" w:type="dxa"/>
        </w:tblCellMar>
      </w:tblPr>
      <w:tblGrid>
        <w:gridCol w:w="271"/>
        <w:gridCol w:w="6601"/>
      </w:tblGrid>
      <w:tr>
        <w:trPr/>
        <w:tc>
          <w:tcPr>
            <w:tcW w:w="271"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Quoted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Inputs other than quoted prices included within Level 1 that are either directly or indirectly observable, such as quoted market prices, interest rates and yield curves.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Unobservable inputs developed using estimates or assumptions developed by the Company, which reflect those that a market participant would use in pricing the asset or liability.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financial instruments consist of cash, cash equivalents, restricted cash, accounts payable and accrued expenses. The carrying amount of accounts payable and accrued expenses is considered a reasonable estimate of fair value due to the short-term maturity.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Series A Convertible Preferred Stock</w:t>
      </w:r>
      <w:r>
        <w:rPr>
          <w:rFonts w:ascii="Times New Roman;Times;serif" w:hAnsi="Times New Roman;Times;serif"/>
          <w:sz w:val="20"/>
        </w:rPr>
        <w:t>—The Company classifies the Series A Preferred Stock as temporary equity outside of stockholders’ equity on the accompanying condensed consolidated balance sheets due to certain events that are not within the Company's control.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Accounting for leases</w:t>
      </w:r>
      <w:r>
        <w:rPr>
          <w:rFonts w:ascii="Times New Roman;Times;serif" w:hAnsi="Times New Roman;Times;serif"/>
          <w:sz w:val="20"/>
        </w:rPr>
        <w:t xml:space="preserve">—At the inception of an arrangement, the Company determines whether the arrangement is or contains a lease based on specific facts and circumstances, the existence of an identified asset(s), if any, and the Company’s control over the use of the identified asset(s), if applicable. Operating lease liabilities and their corresponding right of use assets are recorded based on the present value of future lease payments over the expected lease term. The interest rate implicit in lease contracts is typically not readily determinable. As such, the Company utilizes the incremental borrowing rate, which is the rate incurred to borrow on a collateralized basis over a similar term an amount equal to the lease payments in a similar economic environment.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elected not to separate lease and non-lease components as a single component. Operating leases are recognized on the balance sheet as right of use (ROU) lease assets, lease liabilities current and lease liabilities non-current. Fixed rents are included in the calculation of the lease balances while variable costs paid for certain operating and pass-through costs are excluded. Lease expense is recognized over the expected term on a straight-line basis. The Company has also elected the short-term lease exemption for all leases with an original term of less than 12 months.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Revenue recognition</w:t>
      </w:r>
      <w:r>
        <w:rPr>
          <w:rFonts w:ascii="Times New Roman;Times;serif" w:hAnsi="Times New Roman;Times;serif"/>
          <w:sz w:val="20"/>
        </w:rPr>
        <w:t>— The Company’s revenue is primarily generated through grants from government and non-government organizations. Grant revenue is recognized during the period that the reimbursable research and development services occur, as qualifying expenses are incurred or conditions of the grants are met. Grant revenue received in advance is recorded as deferred grant revenue and recognized as revenue once the conditions for revenue recognition are met. Associated expenses are recognized when incurred as research and development expenses. The Company concluded that payments received under these grants represent conditional, nonreciprocal contributions, as described in ASC </w:t>
      </w:r>
      <w:r>
        <w:rPr>
          <w:rFonts w:ascii="Times New Roman;Times;serif" w:hAnsi="Times New Roman;Times;serif"/>
          <w:i/>
          <w:sz w:val="20"/>
        </w:rPr>
        <w:t>958,</w:t>
      </w:r>
      <w:r>
        <w:rPr>
          <w:rFonts w:ascii="Times New Roman;Times;serif" w:hAnsi="Times New Roman;Times;serif"/>
          <w:sz w:val="20"/>
        </w:rPr>
        <w:t> Not-for-Profit Entities, and that the grants are </w:t>
      </w:r>
      <w:r>
        <w:rPr>
          <w:rFonts w:ascii="Times New Roman;Times;serif" w:hAnsi="Times New Roman;Times;serif"/>
          <w:i/>
          <w:sz w:val="20"/>
        </w:rPr>
        <w:t>not</w:t>
      </w:r>
      <w:r>
        <w:rPr>
          <w:rFonts w:ascii="Times New Roman;Times;serif" w:hAnsi="Times New Roman;Times;serif"/>
          <w:sz w:val="20"/>
        </w:rPr>
        <w:t> within the scope of ASC </w:t>
      </w:r>
      <w:r>
        <w:rPr>
          <w:rFonts w:ascii="Times New Roman;Times;serif" w:hAnsi="Times New Roman;Times;serif"/>
          <w:i/>
          <w:sz w:val="20"/>
        </w:rPr>
        <w:t>606,</w:t>
      </w:r>
      <w:r>
        <w:rPr>
          <w:rFonts w:ascii="Times New Roman;Times;serif" w:hAnsi="Times New Roman;Times;serif"/>
          <w:sz w:val="20"/>
        </w:rPr>
        <w:t> Revenue from Contracts with Customers, as the organizations providing the grants do </w:t>
      </w:r>
      <w:r>
        <w:rPr>
          <w:rFonts w:ascii="Times New Roman;Times;serif" w:hAnsi="Times New Roman;Times;serif"/>
          <w:i/>
          <w:sz w:val="20"/>
        </w:rPr>
        <w:t>not</w:t>
      </w:r>
      <w:r>
        <w:rPr>
          <w:rFonts w:ascii="Times New Roman;Times;serif" w:hAnsi="Times New Roman;Times;serif"/>
          <w:sz w:val="20"/>
        </w:rPr>
        <w:t xml:space="preserve"> meet the definition of a customer.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Research and development costs</w:t>
      </w:r>
      <w:r>
        <w:rPr>
          <w:rFonts w:ascii="Times New Roman;Times;serif" w:hAnsi="Times New Roman;Times;serif"/>
          <w:sz w:val="20"/>
        </w:rPr>
        <w:t>—Research and development costs are charged to expense as incurred. Research and development expenses incurred in performing research and development activities include salaries and benefits, materials and supplies, preclinical expenses, stock-based compensation expense, depreciation of equipment, contract services, and other outside expenses. Costs for certain development activities are recognized based on an evaluation of the progress to completion of specific tasks using information provided to the Company by its vendors on their actual costs incurred. Payments for these activities are based on the terms of the individual arrangements, which may differ from the pattern of costs incurred, and are reflected in the financial statements as prepaid or accrued research and development. Deposits made by the Company with certain service providers that are to be applied to future payments due under the service agreements or returned to the Company if not utilized are recorded in the consolidated balance sheets.</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Net loss per share</w:t>
      </w:r>
      <w:r>
        <w:rPr>
          <w:rFonts w:ascii="Times New Roman;Times;serif" w:hAnsi="Times New Roman;Times;serif"/>
          <w:sz w:val="20"/>
        </w:rPr>
        <w:t xml:space="preserve">—The Company has reported losses since inception and has computed basic net loss per share attributable to common stockholders by dividing net loss attributable to common stockholders by the weighted-average number of common shares outstanding for the period, without consideration for potentially dilutive securities. The Company computes diluted net loss per common share after giving consideration to all potentially dilutive common shares, including options to purchase common stock, outstanding during the period determined using the treasury-stock and if-converted methods, except where the effect of including such securities would be antidilutive. Because the Company has reported net losses since inception, these potential common shares have been anti-dilutive and basic and diluted loss per share have been the same.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within weighted average common shares outstanding for the three and six months ended June 30, 2026 are 41,099,626 common shares issuable upon the exercise of certain warrants, which are exercisable at any time for nominal consideration, and as such, the shares are considered outstanding for the purpose of calculating basic and diluted net loss per share attributable to common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784" w:name="Tc_4hfc91143UKwml0p_-20rg_7_0"/>
      <w:bookmarkStart w:id="785" w:name="Tc_bEJJfItAyk-ci30aFtdfPQ_6_0"/>
      <w:bookmarkStart w:id="786" w:name="Tc_Ax1gQC_-QkqjMzz6wpYhpw_5_0"/>
      <w:bookmarkStart w:id="787" w:name="Tc_4WTC77nbiky2yfWrlamN9Q_4_0"/>
      <w:bookmarkStart w:id="788" w:name="Tc_d46gaQPpwUWIS9CfN-c7XQ_3_0"/>
      <w:bookmarkStart w:id="789" w:name="Tc_VCKWaEA4yEqc5bWxb2SOHQ_2_4"/>
      <w:bookmarkStart w:id="790" w:name="Tc_Rb1LUVSwmkCcipReJibXwg_2_2"/>
      <w:bookmarkStart w:id="791" w:name="Tc_KowC-lLzokWqI8fgmJBjnw_1_2"/>
      <w:bookmarkStart w:id="792" w:name="_fd468b0c_ce39_408b_8820_6d44645df365"/>
      <w:bookmarkEnd w:id="784"/>
      <w:bookmarkEnd w:id="785"/>
      <w:bookmarkEnd w:id="786"/>
      <w:bookmarkEnd w:id="787"/>
      <w:bookmarkEnd w:id="788"/>
      <w:bookmarkEnd w:id="789"/>
      <w:bookmarkEnd w:id="790"/>
      <w:bookmarkEnd w:id="791"/>
      <w:bookmarkEnd w:id="792"/>
      <w:r>
        <w:rPr>
          <w:rFonts w:ascii="Times New Roman;Times;serif" w:hAnsi="Times New Roman;Times;serif"/>
          <w:sz w:val="20"/>
        </w:rPr>
        <w:t>The following table sets forth the potentially dilutive securities that have been excluded from the calculation of diluted net loss per share because to include them would be anti-dilutive (in common stock equivalent shares):</w:t>
      </w:r>
    </w:p>
    <w:tbl>
      <w:tblPr>
        <w:tblW w:w="6290" w:type="dxa"/>
        <w:jc w:val="left"/>
        <w:tblInd w:w="0" w:type="dxa"/>
        <w:tblLayout w:type="fixed"/>
        <w:tblCellMar>
          <w:top w:w="0" w:type="dxa"/>
          <w:left w:w="0" w:type="dxa"/>
          <w:bottom w:w="0" w:type="dxa"/>
          <w:right w:w="0" w:type="dxa"/>
        </w:tblCellMar>
      </w:tblPr>
      <w:tblGrid>
        <w:gridCol w:w="3526"/>
        <w:gridCol w:w="346"/>
        <w:gridCol w:w="1036"/>
        <w:gridCol w:w="346"/>
        <w:gridCol w:w="103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239010" cy="175260"/>
                      <wp:effectExtent l="0" t="0" r="0" b="0"/>
                      <wp:wrapNone/>
                      <wp:docPr id="52" name="Frame5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7860" cy="175260"/>
                      <wp:effectExtent l="0" t="0" r="0" b="0"/>
                      <wp:wrapNone/>
                      <wp:docPr id="54"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57860" cy="175260"/>
                      <wp:effectExtent l="0" t="0" r="0" b="0"/>
                      <wp:wrapNone/>
                      <wp:docPr id="56" name="Frame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preferred stock (as converted)</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15,596</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1,137,333</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815,723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48,538,891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2,194,788</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65,438</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32,697</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of common stock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49,757,258</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3,058,804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Information—</w:t>
      </w:r>
      <w:r>
        <w:rPr>
          <w:rFonts w:ascii="Times New Roman;Times;serif" w:hAnsi="Times New Roman;Times;serif"/>
          <w:b w:val="false"/>
          <w:sz w:val="20"/>
        </w:rPr>
        <w:t>The Company’s chief operating decision maker (“CODM”), the Chief Executive Officer, manages the Company’s business activities as a single operating and reportable segment at the consolidated level considering the nature of the Company’s product candidates and services, class of customers and the regulatory environment in which the Company operates. Accordingly, the Company’s CODM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strategic goals. In making these decisions, the CODM uses consolidated financial information for purposes of evaluating performance, forecasting future period financial results, and allocating resources. The CODM performs this assessment based on the Company’s consolidated net loss. Through this analysis, the CODM assesses performance by comparing actual net loss versus the budget and then decides how to allocate resources to invest in the Company’s research and development programs. The measure of segment assets is reported on the consolidated balance sheets as total assets. Other segment items included in consolidated net loss are interest income and foreign currency gain (loss), which are reflected in the consolidated statements of operations and comprehensive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r>
        <w:rPr>
          <w:rFonts w:ascii="Times New Roman;Times;serif" w:hAnsi="Times New Roman;Times;serif"/>
          <w:b w:val="false"/>
          <w:sz w:val="20"/>
        </w:rPr>
        <w:t xml:space="preserve">From time to time, new accounting pronouncements are issued by the Financial Accounting Standards Board (“FASB”) or other standard setting bodies that the Company adopts as of the specified effective date.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February 2025, the FASB issued ASU 2025-11, “Interim Reporting (Topic 270): Narrow-Scope Improvements,” which amends Topic 270 to enhance interim reporting requirements. The amendments require additional disaggregation of certain expense categories, expanded interim disclosures for significant events or transactions, and alignment of certain interim disclosure requirements with annual reporting requirements. ASU 2025-11 is effective for interim periods beginning after December 15, 2027, and for fiscal years beginning after the same date. Early adoption is permitted. The Company is currently evaluating the impact of the adoption of this standard.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a party to one operating lease for office and laboratory space. The Company’s finance leases are immaterial both individually and in the aggregate. The Company has elected to apply the short-term lease exception to all leases of one year or less. Rent expense for the three months ended June 30, 2026 and 2025 was $23,607 and $23,336, respectively. Rent expense for the six months ended June 30, 2026 and 2025 was $47,247 and $46,560,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an annual operating lease for office and laboratory space in Doylestown, Pennsylvania which was amended in October 2025 and is currently set to expire on October 31, 2026. Rent expense under this lease is approximately $115,000 annually and the Company has applied the short-term exception to this lease. The Company has no lease obligations beyond October 2026.</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793" w:name="Tc_NTo5DNzMXEamDBpzNgFCDw_7_5"/>
      <w:bookmarkStart w:id="794" w:name="Tc_20g5FNwjSUqzAyIml3Ol1w_7_2"/>
      <w:bookmarkStart w:id="795" w:name="Tc_n2_GuvGG9kyoL1baT39F2w_7_0"/>
      <w:bookmarkStart w:id="796" w:name="Tc_HhxOvLfpZ06vQc0QX7F7kA_6_0"/>
      <w:bookmarkStart w:id="797" w:name="Tc_MlUe06VnZUqaNMNgMK6bvQ_5_0"/>
      <w:bookmarkStart w:id="798" w:name="Tc_wqK1qzwYJ0uJqqYfbkBLpQ_4_0"/>
      <w:bookmarkStart w:id="799" w:name="Tc_MT6HuSSnS0mUoyF1hk8jbw_3_5"/>
      <w:bookmarkStart w:id="800" w:name="Tc_-ESfKCQjs06IOwb-S9tFfQ_3_2"/>
      <w:bookmarkStart w:id="801" w:name="Tc_bDK0cA0tK0mrA7rOPORIWw_3_0"/>
      <w:bookmarkStart w:id="802" w:name="Tc_1LxBMv2JlUa99te1kLSZTw_2_5"/>
      <w:bookmarkStart w:id="803" w:name="Tc_JtvCpFRSlE-v3-dcGAQBiA_2_2"/>
      <w:bookmarkStart w:id="804" w:name="Tc_huzAkvVU20yeH1D6rdXQzA_1_5"/>
      <w:bookmarkStart w:id="805" w:name="Tc_BC-odMtsy06-oMOTXEarzA_1_2"/>
      <w:bookmarkEnd w:id="793"/>
      <w:bookmarkEnd w:id="794"/>
      <w:bookmarkEnd w:id="795"/>
      <w:bookmarkEnd w:id="796"/>
      <w:bookmarkEnd w:id="797"/>
      <w:bookmarkEnd w:id="798"/>
      <w:bookmarkEnd w:id="799"/>
      <w:bookmarkEnd w:id="800"/>
      <w:bookmarkEnd w:id="801"/>
      <w:bookmarkEnd w:id="802"/>
      <w:bookmarkEnd w:id="803"/>
      <w:bookmarkEnd w:id="804"/>
      <w:bookmarkEnd w:id="805"/>
      <w:r>
        <w:rPr>
          <w:rFonts w:ascii="Times New Roman;Times;serif" w:hAnsi="Times New Roman;Times;serif"/>
          <w:b/>
          <w:sz w:val="20"/>
        </w:rPr>
        <w:t>4. Accrued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0"/>
        <w:ind w:left="0" w:right="0" w:hanging="0"/>
        <w:jc w:val="left"/>
        <w:rPr/>
      </w:pPr>
      <w:r>
        <w:rPr/>
        <w:t>​</w:t>
      </w:r>
    </w:p>
    <w:tbl>
      <w:tblPr>
        <w:tblW w:w="6307" w:type="dxa"/>
        <w:jc w:val="left"/>
        <w:tblInd w:w="0" w:type="dxa"/>
        <w:tblLayout w:type="fixed"/>
        <w:tblCellMar>
          <w:top w:w="0" w:type="dxa"/>
          <w:left w:w="0" w:type="dxa"/>
          <w:bottom w:w="0" w:type="dxa"/>
          <w:right w:w="0" w:type="dxa"/>
        </w:tblCellMar>
      </w:tblPr>
      <w:tblGrid>
        <w:gridCol w:w="3226"/>
        <w:gridCol w:w="346"/>
        <w:gridCol w:w="211"/>
        <w:gridCol w:w="931"/>
        <w:gridCol w:w="346"/>
        <w:gridCol w:w="211"/>
        <w:gridCol w:w="1036"/>
      </w:tblGrid>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57860" cy="175260"/>
                      <wp:effectExtent l="0" t="0" r="0" b="0"/>
                      <wp:wrapNone/>
                      <wp:docPr id="62" name="Frame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317,561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248,591</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severance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398,574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770,562</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1,305,285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870,165</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161,372</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2,050,690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5. Stockholders’ equity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total number of shares of all classes of capital stock that the Company is authorized to issue is 440,000,000 shares, consisting of 400,000,000 shares of common stock, par value $0.001 per share and 40,000,000 shares of preferred stock, par value $0.001 per share.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Series A Preferred Stock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June 30, 2026 and December 31, 2025, a total of 31,194 shares of Series A Preferred Stock remained outstanding, which are convertible into 15,596 shares of common stock. In April 2025, a total of 25,033 shares of Series A Preferred stock were converted into 12,516 shares of common stock.</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Common Stock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holders of common stock are entitled to one vote for each share of common stock. In the event of any voluntary or involuntary liquidation, dissolution or winding up of the Company, after the payment or provision for payment of all debts and liabilities of the Company, the holders of common stock shall be entitled to share in the remaining assets of the Company available for distribution, if any.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Shelf Registration Statement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On November 8, 2024, the Company entered into an At the Market Offering Agreement (the “November 2024 ATM Agreement”) with HCW. On November 8, 2024, the Company filed a prospectus supplement to the 2024 Shelf Registration Statement with the SEC for the sale of up to $3.0 million pursuant to the November 2024 ATM Agreement, as discussed below. Pursuant to the November 2024 ATM Agreement and the prospectus supplement filed in connection therewith, the Company may, from time to time, in its sole discretion, issue and sell through HCW, acting as sales agent and/or principal, up to $3.0 million of shares of common stock. During the year ended December 31, 2025, the Company issued and sold 1,337,948 shares of common stock under the November 2024 ATM Agreement resulting in net proceeds to the Company of approximately $1.9 million after deducting approximately $76,000 in issuance costs. During the six months ended June 30, 2026, the Company did not issue and sell shares of common stock under the November 2024 ATM Agreement.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December 2025 Private Placement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8, 2025, the Company entered into a securities purchase agreement with certain purchasers (the “December Purchasers”) pursuant to which the Company agreed to issue and sell to the December Purchasers in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private placement offering exempt from registration under the Securities Act of 1933, as amended, or the Securities Act, and the December Purchasers agreed to purchase from the Company (i) 26,459 shares of the Company’s common stock at a purchase price of $1.165 per share (the “December 2025 Shares”), (ii) pre-funded common stock purchase warrants (the “December 2025 Pre-Funded Warrants”), at a purchase price of $1.164 to purchase an aggregate of up to 2,596,564 shares of the Company’s common stock at an exercise price of $0.001 per share (the “December 2025 Pre-Funded Shares”), (iii) common stock purchase warrants to purchase up to 2,880,533 shares of the Company’s common stock at an exercise price of $1.04 per share (the “December 2025 Warrants”), and (iv) a warrant to purchase up to 257,510 shares of the Company’s common stock to the placement agent (the “Placement Agent Warrant”). The December 2025 Warrants and the Placement Agent Warrant will be exercisable until the five-year anniversary of issuance. The aggregate upfront gross proceeds from the issuance of the December 2025 Shares and December 2025 Pre-Funded Warrants totaled approximately $3.1 million, before deducting placement agent fees and offering costs of approximately $0.4 million. In December 2025, the Company registered on Form S-3 the resale of the December 2025 Shares, the December 2025 Pre-Funded Shares and the shares underlying the December 2025 Warrants and the Placement Agent Warrant.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January 2026 Private Placement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January 28, 2026, the Company entered into a securities purchase agreement with certain purchasers (the “January Purchasers”) pursuant to which the Company agreed to issue and sell to the January Purchasers in a private placement offering exempt from registration under the Securities Act of 1933, as amended, or the Securities Act, and the January Purchasers agreed to purchase from the Company (i) 1,877,677 shares of the Company’s common stock at a purchase price of $0.8891 per share (the “January 2026 Shares”), (ii) pre-funded common stock purchase warrants (the “January 2026 Pre-Funded Warrants”) at a purchase price of $0.8881 to purchase an aggregate of up to 4,411,180 shares of the Company’s common stock at an exercise price of $0.001 per share (the “January 2026 Pre-Funded Shares”) and (iii) common stock purchase warrants to purchase up to 6,288,857 shares of the Company’s common stock at an exercise price of $0.765 per share (the “January 2026 Warrants”). The January 2026 Warrants will be exercisable until the two-year anniversary of issuance. The aggregate upfront gross proceeds from the issuance of January 2026 Shares and January 2026 Pre-Funded Warrants totaled approximately $5.6 million, before deducting placement agent fees and offering costs of approximately $0.5 million. In February 2026, the Company registered on Form S-3 the resale of the January 2026 Shares, the January 2026 Pre-Funded Shares and the shares underlying the January 2026 Warrants.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March 2026 Private Placement</w:t>
      </w:r>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On March 30, 2026, the Company entered into a securities purchase agreement with certain purchasers (the “March Purchasers”) pursuant to which the Company agreed to issue and sell to the Purchasers in a private placement offering exempt from registration under the Securities Act of 1933, as amended, or the Securities Act, and the March Purchasers agreed to purchase from the Company (i)  pre-funded common stock purchase warrants (the “March 2026 Pre-Funded Warrants”) at a purchase price of $0.807 to purchase an aggregate of up to 37,174,713 shares of the Company’s common stock at an exercise price of $0.001 per share (the “March 2026 Pre-Funded Shares”) and (ii) common stock purchase warrants to purchase up to 37,174,713 shares of the Company’s common stock at an exercise price of $0.683 per share (the “March 2026 Warrants”). The March 2026 Warrants will be exercisable until December 31, 2029. However, if a holder exercises all or a portion of a March 2026 Pre-Funded Warrant then the termination date shall be the 30</w:t>
      </w:r>
      <w:r>
        <w:rPr>
          <w:rFonts w:ascii="Times New Roman;Times;serif" w:hAnsi="Times New Roman;Times;serif"/>
          <w:sz w:val="15"/>
        </w:rPr>
        <w:t>th</w:t>
      </w:r>
      <w:r>
        <w:rPr>
          <w:rFonts w:ascii="Times New Roman;Times;serif" w:hAnsi="Times New Roman;Times;serif"/>
          <w:sz w:val="20"/>
        </w:rPr>
        <w:t xml:space="preserve"> calendar day after the holder exercises such March 2026 Pre-Funded Warrant with respect to the number of shares exercised under such March 2026 Pre-Funded Warrant. The aggregate upfront gross proceeds from the issuance of the March 2026 Pre-Funded Warrants totaled approximately $30.0 million, before deducting placement agent fees and offering costs of approximately $2.3 million. At March 31, 2026, approximately $0.5 million of the proceeds had not yet been received by the Company. The unpaid amount was recorded as a subscription receivable and presented as a reduction of stockholders’ equity. The full amount was received by the Company on April 1, 2026. In April 2026, the Company registered on Form S-3 the resale of the March 2026 Pre-Funded Shares and the shares underlying the March 2026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sz w:val="20"/>
        </w:rPr>
      </w:pPr>
      <w:bookmarkStart w:id="806" w:name="Tc_o0em8w9R6EGIfW2EsG_vag_13_0"/>
      <w:bookmarkStart w:id="807" w:name="Tc_kzMROZtiJkyt66TF005Bog_12_7"/>
      <w:bookmarkStart w:id="808" w:name="Tc_LHNPFBM1YEq9GquyQzxQTg_12_4"/>
      <w:bookmarkStart w:id="809" w:name="Tc_xskt0Zc7CUSGeIv49yuhfw_12_0"/>
      <w:bookmarkStart w:id="810" w:name="Tc_ZEbz_JvzbU2KyjajhSGBGQ_11_7"/>
      <w:bookmarkStart w:id="811" w:name="Tc_qjSGDtPhi0O3QZKS3M2YJQ_11_4"/>
      <w:bookmarkStart w:id="812" w:name="Tc_qF1S2wf5KUm14Hlt1h0sew_11_0"/>
      <w:bookmarkStart w:id="813" w:name="Tc_PKvhq_ddBUiCCfAdZkKpiA_10_7"/>
      <w:bookmarkStart w:id="814" w:name="Tc_Cefd5MXNq0O0G4s4L6gy4g_10_4"/>
      <w:bookmarkStart w:id="815" w:name="Tc_toeNZL0lbE64ga47nBhCzw_10_0"/>
      <w:bookmarkStart w:id="816" w:name="Tc_g4VhjcUX2UCC7U0H1wDxPA_9_7"/>
      <w:bookmarkStart w:id="817" w:name="Tc_lRB5e8Ydf0qEDWRP9R1_ng_9_4"/>
      <w:bookmarkStart w:id="818" w:name="Tc_T0AGgZlzCk6gSOCx-c9KSA_9_0"/>
      <w:bookmarkStart w:id="819" w:name="Tc_0OsnXou5xUyvbRjIoz3SeA_8_7"/>
      <w:bookmarkStart w:id="820" w:name="Tc_yLU5D-3VIke2G7H5-VV62g_8_4"/>
      <w:bookmarkStart w:id="821" w:name="Tc_9iPlPJ3XqUasq3ajqfUzzw_8_0"/>
      <w:bookmarkStart w:id="822" w:name="Tc_snBuDfvHPE-bMaHtFiJ3OQ_7_7"/>
      <w:bookmarkStart w:id="823" w:name="Tc_vdP9etktfEuy0W-Vft3GSw_7_4"/>
      <w:bookmarkStart w:id="824" w:name="Tc_k1X1Mo92yU6MtZifO1IAUA_7_0"/>
      <w:bookmarkStart w:id="825" w:name="Tc_6VirZg5u8kaarM5J9pm8kQ_6_7"/>
      <w:bookmarkStart w:id="826" w:name="Tc_p_S_E-vl3kyUGUUqwWc_NA_6_4"/>
      <w:bookmarkStart w:id="827" w:name="Tc_ZePTE23FV0mrcWf3X-dAFw_6_0"/>
      <w:bookmarkStart w:id="828" w:name="Tc_BpLFmZv5o0a-2SXl60kv1w_5_7"/>
      <w:bookmarkStart w:id="829" w:name="Tc_syr4dHBNgU-AqLSK7pPb_w_5_4"/>
      <w:bookmarkStart w:id="830" w:name="Tc_d_wi685oREWCY7dZSNvuTg_5_0"/>
      <w:bookmarkStart w:id="831" w:name="Tc_7xmngSKNTkGOE0cfL_aG9A_4_7"/>
      <w:bookmarkStart w:id="832" w:name="Tc_ualvFhWel0ykiGkxU5PT9g_4_4"/>
      <w:bookmarkStart w:id="833" w:name="Tc_I9AOnaot4UKxZDR3osstHg_4_0"/>
      <w:bookmarkStart w:id="834" w:name="Tc_qB-j59pRdE2BjGHEc6y7ag_3_7"/>
      <w:bookmarkStart w:id="835" w:name="Tc_Lz9kuO_lHEe_hfWvTUAGWw_3_4"/>
      <w:bookmarkStart w:id="836" w:name="Tc_Np9ca4LnZkCU7Ujt-oSjFQ_3_2"/>
      <w:bookmarkStart w:id="837" w:name="Tc_TwnGFYP3KUKE6K59ZEUs0Q_3_0"/>
      <w:bookmarkStart w:id="838" w:name="Tc_3j2m6gOqUUKWR5LZsxVBXg_2_7"/>
      <w:bookmarkStart w:id="839" w:name="Tc_6pd4QjGL-EW4VLb5CDbGyg_2_4"/>
      <w:bookmarkStart w:id="840" w:name="Tc_ZgkYSL0L2kuSce93xqI7-Q_2_2"/>
      <w:bookmarkStart w:id="841" w:name="Tc_TnfE9e07OUiGwZFVbNBFIQ_1_4"/>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sz w:val="20"/>
        </w:rPr>
        <w:t xml:space="preserve">The Company evaluated the terms of the warrants issued in the December 2025, January 2026 and March 2026 Private Placements and determined that they should be classified as equity instruments within additional paid-in capital. As of June 30, 2026 and December 31, 2025, none of the Tranche A Warrants or Tranche B Warrants have been exercised. During 2025, 91,206 warrants to purchase March 2024 Pre-Funded Shares were exercised for proceeds of $91 and 1,198,700 December 2025 Pre-Funded Warrants to purchase December 2025 Pre-Funded Shares were exercised for no proceeds since the exercise price was previously paid at closing. During the three months ended June 30, 2026, 400,000 January 2026 Pre-Funded Warrants to purchase January 2026 Pre-Funded Shares were exercised for no proceeds since the exercise price was previously paid at closing. During the six months ended June 30, 2026, 1,376,405 December 2025 Pre-Funded Warrants to purchase December 2025 Pre-Funded Shares and 923,596 January 2026 Pre-Funded Warrants to purchase January 2026 Pre-Funded Shares were exercised for no </w:t>
      </w:r>
      <w:r>
        <w:rPr>
          <w:rFonts w:ascii="Times New Roman;Times;serif" w:hAnsi="Times New Roman;Times;serif"/>
          <w:b w:val="false"/>
          <w:i w:val="false"/>
          <w:caps w:val="false"/>
          <w:smallCaps w:val="false"/>
          <w:sz w:val="20"/>
        </w:rPr>
        <w:t>proceeds</w:t>
      </w:r>
      <w:r>
        <w:rPr>
          <w:rFonts w:ascii="Times New Roman;Times;serif" w:hAnsi="Times New Roman;Times;serif"/>
          <w:sz w:val="20"/>
        </w:rPr>
        <w:t xml:space="preserve"> since the exercise price was previously paid at closing.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summary of warrants outstanding as of June 30, 2026 is as follows:</w:t>
      </w:r>
    </w:p>
    <w:p>
      <w:pPr>
        <w:pStyle w:val="TextBody"/>
        <w:bidi w:val="0"/>
        <w:spacing w:before="0" w:after="0"/>
        <w:ind w:left="0" w:right="0" w:hanging="0"/>
        <w:jc w:val="left"/>
        <w:rPr/>
      </w:pPr>
      <w:r>
        <w:rPr/>
        <w:t>​</w:t>
      </w:r>
    </w:p>
    <w:tbl>
      <w:tblPr>
        <w:tblW w:w="6571" w:type="dxa"/>
        <w:jc w:val="left"/>
        <w:tblInd w:w="0" w:type="dxa"/>
        <w:tblLayout w:type="fixed"/>
        <w:tblCellMar>
          <w:top w:w="0" w:type="dxa"/>
          <w:left w:w="0" w:type="dxa"/>
          <w:bottom w:w="0" w:type="dxa"/>
          <w:right w:w="0" w:type="dxa"/>
        </w:tblCellMar>
      </w:tblPr>
      <w:tblGrid>
        <w:gridCol w:w="3136"/>
        <w:gridCol w:w="146"/>
        <w:gridCol w:w="1036"/>
        <w:gridCol w:w="109"/>
        <w:gridCol w:w="211"/>
        <w:gridCol w:w="676"/>
        <w:gridCol w:w="146"/>
        <w:gridCol w:w="1111"/>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991360" cy="175260"/>
                      <wp:effectExtent l="0" t="0" r="0" b="0"/>
                      <wp:wrapNone/>
                      <wp:docPr id="63" name="Frame63"/>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2710" cy="175260"/>
                      <wp:effectExtent l="0" t="0" r="0" b="0"/>
                      <wp:wrapNone/>
                      <wp:docPr id="64" name="Frame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57860" cy="175260"/>
                      <wp:effectExtent l="0" t="0" r="0" b="0"/>
                      <wp:wrapNone/>
                      <wp:docPr id="65" name="Frame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260" cy="175260"/>
                      <wp:effectExtent l="0" t="0" r="0" b="0"/>
                      <wp:wrapNone/>
                      <wp:docPr id="68" name="Frame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2710" cy="175260"/>
                      <wp:effectExtent l="0" t="0" r="0" b="0"/>
                      <wp:wrapNone/>
                      <wp:docPr id="69" name="Frame6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05485" cy="175260"/>
                      <wp:effectExtent l="0" t="0" r="0" b="0"/>
                      <wp:wrapNone/>
                      <wp:docPr id="70" name="Frame7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r>
      <w:tr>
        <w:trPr/>
        <w:tc>
          <w:tcPr>
            <w:tcW w:w="31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3282" w:type="dxa"/>
            <w:gridSpan w:val="2"/>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1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2024 Tranche A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1,097,394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7.2900</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3/11/2027</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2024 Tranche B Warrants</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1,097,394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9.1125</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3/11/2029</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2024 Pre-Funded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415,870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0.0010</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2025 Pre-Funded Warrants</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0.0010</w:t>
            </w:r>
          </w:p>
        </w:tc>
        <w:tc>
          <w:tcPr>
            <w:tcW w:w="1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2025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2,880,533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1.0400</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12/10/2030</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2026 Pre-Funded Warrants</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3,487,584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0.0010</w:t>
            </w:r>
          </w:p>
        </w:tc>
        <w:tc>
          <w:tcPr>
            <w:tcW w:w="1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2026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6,288,857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0.7650</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1/30/2028</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2026 Pre-Funded Warrants</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37,174,713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0.0010</w:t>
            </w:r>
          </w:p>
        </w:tc>
        <w:tc>
          <w:tcPr>
            <w:tcW w:w="1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2026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37,174,713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0.6830</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12/31/2029</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89,638,517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recorded stock-based compensation expense of $0.1 million for each of the three months ended June 30, 2026 and 2025. The Company recorded stock-based compensation expense of $0.2 million and $0.3 million for the six months ended June 30, 2026 and 2025,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Income Taxes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has no income tax expense due to operating losses incurred for the three and six months ended June 30, 2026 and 2025. The Company has provided a valuation allowance for the full amount of the net deferred tax assets as, based on all available evidence, it is considered more likely than not that all the recorded deferred tax assets will not be realized in a future period.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Realization of the future tax benefits is dependent on many factors, including the Company’s ability to generate taxable income within the net operating loss carryforward period. Under the provisions of the U.S. Internal Revenue Code and Sweden tax law, certain changes in the Company’s ownership, including a sale of the Company or significant changes in ownership due to sales of equity, may have limited, or may limit in the future, the amount of net operating loss carryforwards that could be used annually to offset future taxable income. For U.S. and Swedish income tax purposes, the Company has not completed a study to assess whether a change of control has occurred or whether there have been changes of control since the Company’s formation due to the complexity and cost associated with such study and because there could be additional changes of control in the future. As a result, the Company is not able to estimate the effect of the change in control, if any, on the Company’s ability to utilize U.S. or Swedish net operating losses or other tax attribute carryforwards in the future. For Swedish income tax purposes, the Company’s net operating losses may be subject to limitations in accordance with the country’s group contribution restriction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Aprea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files tax returns in Sweden, the United States, Massachusetts and Pennsylvania. Income tax returns prior to 2022 in the United States and Massachusetts are no longer subject to examination and income tax returns prior to 2019 are no longer subject to examination in Sweden. The Company is not currently under examination by the IRS or any other jurisdictions for any tax years.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tax law is complex and often subject to varied interpretations, it is uncertain whether some of the Company’s tax positions will be sustained upon examination. Tax liabilities associated with uncertain tax positions represent unrecognized tax benefits, which arise when the estimated benefit recorded in the Company’s financial statements differs from the amounts taken or expected to be taken in a tax return because of the uncertainties described above. Substantially all of these unrecognized tax benefits, if recognized, would benefit the Company’s effective income tax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and December 31, 2025, the Company had approximately $0.1 million of liabilities related to uncertain tax positions. As the Company’s uncertain tax positions can be offset by available net operating losses, the Company did not recognize interest and penalties for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4, 2025, the “One Big Beautiful Bill Act” (OBBBA) was enacted into law. The legislation made several changes to the U.S. tax code, including the return of 100% bonus depreciation, the ability to immediately deduct domestic research and development costs, a more favorable rule for deducting interest expenses, and updates to international tax rules around global intangible low-taxed income and foreign-derived intangible income. The Company has evaluated the impact of the OBBBA and determined it will have an immaterial impact on the consolidated financial results.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Commitments and contingencies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the Company may be party to litigation arising in the ordinary course of its business. The Company was not subject to any material legal proceedings during the three and six months ended June 30, 2026 or the year ended December 31, 2025, and, to its knowledge, no material legal proceedings are currently pending or threatened. The Company records a provision for contingent losses when it is both probable that a liability has been incurred and the amount of the loss can be reasonably estimated. As of June 30, 2026 and December 31, 2025, the Company has not recorded a provision for any contingent losses.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42" w:name="Item2ManagementsDiscussionandAnalysisofF"/>
      <w:bookmarkStart w:id="843" w:name="_6334e764_d4a9_4673_81d6_c7b2a4787c06"/>
      <w:bookmarkEnd w:id="842"/>
      <w:bookmarkEnd w:id="84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the unaudited financial information and notes thereto included in this Quarterly Report on Form 10-Q. Some of the information contained in this discussion and analysis or set forth elsewhere in this Quarterly Report, including information with respect to our plans and strategy for our business and related financing, including forward-looking statements that involve risks and uncertainties. As a result of many factors, including those factors set forth in the “Risk Factors” section of this Quarterly Report and in our Annual Report on Form 10-K for the year ended December 31, 2025, our actual results could differ materially from the results described in or implied by the forward-looking statements contained in the following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clinical-stage precision medicine oncology company focused on the discovery and development of targeted therapies for patients with biomarker-defined cancers. Our approach focuses on matching treatments to specific cancer-related genetic mutations to potentially maximize effectiveness and minimize side effects. Specifically, we develop small molecule inhibitors designed to exploit genetic mutations in cancer to widen the therapeutic window and intended to make treatments more effective at destroying cancer cells while sparing healthy tissue. We have assembled a team with extensive experience in the discovery, development, and commercialization of oncology drugs to support our mission of developing novel synthetic lethality-based cancer therapeutics.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precision medicine has the potential to impact patients’ lives in a wide range of cancer types. Genomic instability is the hallmark of cancer. When a gene pathway is damaged or fails, related genes make up for its loss of function. Our approach is to inhibit these make up genes, thereby specifically killing cancer cells with defined mutations. This approach is called synthetic lethality. Using synthetic lethality, our product candidates are designed to selectively kill cancer cells while minimizing the effect on normal, unmutated cells, decreasing the toxicity usually associated with cancer treatment. We aspire to become a leader in this emerging field and are establishing a pipeline of clinical and preclinical programs that we believe may have broad applications to cancer treatment.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targeting WEE1, a kinase that is a key regulator of multiple phases of the cell cycle. Our lead WEE1 inhibitor product candidate is APR-1051. In March 2024, our IND for APR-1051 (IND 169359) went into effect and in the second quarter of 2024 we enrolled the first patient into ACESOT-1051, our Phase 1 dose escalation study. Preliminary results provide early clinical proof-of-concept of APR-1051. On January 29, 2026, we announced the first unconfirmed partial response (uPR) observed in a patient enrolled in the ongoing Phase 1 ACESOT-1051 dose-escalation study: a patient with PPP2R1A-mutated uterine serous carcinoma, a form of endometrial cancer, treated at the 150 mg dose level of APR-1051. At the protocol-defined 8-week first imaging assessment, the patient achieved a 50% reduction in target lesion size per RECIST v1.1 criteria, along with a marked reduction in cancer antigen 125 (CA-125) levels, from 732 to 70 U/mL. CA-125 is a well-recognized tumor marker in endometrial cancer. On March 30, 2026, we announced a confirmed partial response observed in a second patient with PPP2R1A-mutated endometrial cancer, treated at the 220 mg dose level. At the first imaging assessment the patient achieved a 50% reduction in target lesion size, along with a marked decline in CA-125 from 362 at baseline to 47 U/mL, further supporting the anti-tumor activity of APR-1051. This response was subsequently confirmed at the second image assessment, with an additional 9.5% reduction in target lesion size, and a reduction in CA-125 to 40.2U/ml (from 362 U/mL at baseline). As of May 6, 2026, we observed 6 patients with stable disease in the ongoing Phase 1 ACESOT-1051 dose escalation study. We expect to report the next clinical data update from ACESOT-1051 at a medical meeting in the fourth quarter of 2026. Enrollment is accelerating ahead of this anticipated clinical catalyst, with the number of active clinical sites expanding from three to ten. We expect enrollment to reach 6 to 10 patients per month by Q4 of 2026, potentially increasing the pace of clinical data generation. Our plan is to expand enrollment in ACESOT-1051 to include at least 50 patients with uterine serous carcinoma (USC), or patients with cyclin E-overexpressing, platinum-resistant ovarian cancer (PROC). This strategy is designed to sharpen the clinical development path for APR-1051 and provide further insight into biomarker-defined patient populations most likely to benefit from WEE1 inhibition. Completion of dose escalation and backfill expansion is anticipated in the second quarter of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second clinical-stage synthetic lethality product candidate is ATRN-119, an oral small molecule inhibitor of ataxia telangiectasia and Rad3-related, or ATR. The ATR kinase is a master regulator of the DNA damage response, with key roles in cell cycle control and DNA repair following replication stress. We have developed ATRN-119, the first oral macrocyclic ATR inhibitor to enter clinical trials. On October 15, 2025, we determined the recommended Phase 2 monotherapy dose (RP2D) of 1,100 mg once daily for ATRN-119 in the ABOYA-119 Phase 1/2a dose-escalation study, and have closed this study to focus our resources on the clinical development of APR-1051. Building on the completion of dose escalation, we are considering further ATRN-119 development in combination approaches that could expand its therapeutic potential. We believe ATRN-119's mechanism of action, favorable safety profile, and pharmacologic characteristics potentially make it an ideal candidate for combination with other anti-cancer therapies, including radiation therapy, chemotherapy, antibody-drug conjugates (ADCs) and immune checkpoint inhibitors.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in discussions with leading academic centers to explore various combinations for ATRN-119. These include investigator-initiated studies evaluating ATRN-119 in combination with I/O agents, chemotherapy, ADCs and/or radiation. Potential indications for these combinations include advanced solid tumors (e.g. HPV+ head and neck cancers, sarcomas, ovarian, colorectal, lung) and hematologic malignancies (e.g. Acute Myeloid Leukemia, Myelodysplastic syndromes).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addition, we have an early-stage program, a macrocyclic DYRK1A/B inhibitor, that we potentially could enter IND enabling studies in the fourth quarter of 2026, subject to available resources.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currently have any ongoing clinical trials involving our reactivator of mutant p53, APR-246.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Corporate Background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Aprea Therapeutics AB, or Aprea AB, was originally incorporated in 2002 and commenced principal operations in 2006. We incorporated Aprea Therapeutics, Inc. (the “Company”) in May 2019. In September 2019 we completed a corporate reorganization and, as a result, all of the issued and outstanding stock of Aprea AB was exchanged for common stock, preferred stock or options, as applicable, of the Company. As a result of such transactions, Aprea AB became a wholly-owned subsidiary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devoted substantially all of our resources to developing our product candidates, building our intellectual property portfolio, business planning, raising capital and providing general and administrative support for these operations. To date, we have financed our operations primarily through the net proceeds received from the initial public offering of our common stock and sales of common stock through public and private offerings.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Grant revenue</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not generated any revenue from product sales and do not expect to generate any revenue from the sale of products in the near future. If our development efforts for any of our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revenue is primarily generated through grants from government and non-government organizations. Grant revenue is recognized during the period that the research and development services occur, as qualifying expenses are incurred or conditions of the grants are met. Associated expenses are recognized when incurred as research and development expense. We concluded that payments received under these grants represent conditional, nonreciprocal contributions, as described in ASC 958, Not</w:t>
      </w:r>
      <w:r>
        <w:rPr>
          <w:rFonts w:ascii="Times New Roman;Times;serif" w:hAnsi="Times New Roman;Times;serif"/>
          <w:i/>
          <w:sz w:val="20"/>
        </w:rPr>
        <w:t>-</w:t>
      </w:r>
      <w:r>
        <w:rPr>
          <w:rFonts w:ascii="Times New Roman;Times;serif" w:hAnsi="Times New Roman;Times;serif"/>
          <w:sz w:val="20"/>
        </w:rPr>
        <w:t xml:space="preserve">for-Profit Entities, and that the grants are not within the scope of ASC 606, Revenue from Contracts with Customers, as the organizations providing the grants do not meet the definition of a customer.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expenses since inception have consisted solely of research and development costs and general and administrative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activities, including our discovery efforts, and the development of our product candidates, and include: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contract research organizations, or CROs, that conduct research, preclinical activities and clinical trials on our behalf as well as contract manufacturing organizations, or CMOs, that manufacture our product candidates for use in our preclinical and clinical trials;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stock-based compensation expense, for personnel engaged in research and development functions;</w:t>
            </w:r>
          </w:p>
        </w:tc>
      </w:tr>
    </w:tbl>
    <w:tbl>
      <w:tblPr>
        <w:tblW w:w="8852" w:type="dxa"/>
        <w:jc w:val="left"/>
        <w:tblInd w:w="0" w:type="dxa"/>
        <w:tblLayout w:type="fixed"/>
        <w:tblCellMar>
          <w:top w:w="0" w:type="dxa"/>
          <w:left w:w="0" w:type="dxa"/>
          <w:bottom w:w="0" w:type="dxa"/>
          <w:right w:w="0" w:type="dxa"/>
        </w:tblCellMar>
      </w:tblPr>
      <w:tblGrid>
        <w:gridCol w:w="271"/>
        <w:gridCol w:w="8581"/>
      </w:tblGrid>
      <w:tr>
        <w:trPr/>
        <w:tc>
          <w:tcPr>
            <w:tcW w:w="271" w:type="dxa"/>
            <w:tcBorders/>
            <w:vAlign w:val="center"/>
          </w:tcPr>
          <w:p>
            <w:pPr>
              <w:pStyle w:val="TableContents"/>
              <w:bidi w:val="0"/>
              <w:spacing w:before="0" w:after="283"/>
              <w:jc w:val="left"/>
              <w:rPr/>
            </w:pPr>
            <w:r>
              <w:rPr/>
              <w:t>●</w:t>
            </w:r>
          </w:p>
        </w:tc>
        <w:tc>
          <w:tcPr>
            <w:tcW w:w="8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outside consultants, including their fees, stock-based compensation and related travel expenses;</w:t>
            </w:r>
          </w:p>
        </w:tc>
      </w:tr>
    </w:tbl>
    <w:tbl>
      <w:tblPr>
        <w:tblW w:w="9542" w:type="dxa"/>
        <w:jc w:val="left"/>
        <w:tblInd w:w="0" w:type="dxa"/>
        <w:tblLayout w:type="fixed"/>
        <w:tblCellMar>
          <w:top w:w="0" w:type="dxa"/>
          <w:left w:w="0" w:type="dxa"/>
          <w:bottom w:w="0" w:type="dxa"/>
          <w:right w:w="0" w:type="dxa"/>
        </w:tblCellMar>
      </w:tblPr>
      <w:tblGrid>
        <w:gridCol w:w="271"/>
        <w:gridCol w:w="9271"/>
      </w:tblGrid>
      <w:tr>
        <w:trPr/>
        <w:tc>
          <w:tcPr>
            <w:tcW w:w="271" w:type="dxa"/>
            <w:tcBorders/>
            <w:vAlign w:val="center"/>
          </w:tcPr>
          <w:p>
            <w:pPr>
              <w:pStyle w:val="TableContents"/>
              <w:bidi w:val="0"/>
              <w:spacing w:before="0" w:after="283"/>
              <w:jc w:val="left"/>
              <w:rPr/>
            </w:pPr>
            <w:r>
              <w:rPr/>
              <w:t>●</w:t>
            </w:r>
          </w:p>
        </w:tc>
        <w:tc>
          <w:tcPr>
            <w:tcW w:w="9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laboratory supplies and acquiring, developing and manufacturing preclinical and clinical trial materials;</w:t>
            </w:r>
          </w:p>
        </w:tc>
      </w:tr>
    </w:tbl>
    <w:tbl>
      <w:tblPr>
        <w:tblW w:w="5747" w:type="dxa"/>
        <w:jc w:val="left"/>
        <w:tblInd w:w="0" w:type="dxa"/>
        <w:tblLayout w:type="fixed"/>
        <w:tblCellMar>
          <w:top w:w="0" w:type="dxa"/>
          <w:left w:w="0" w:type="dxa"/>
          <w:bottom w:w="0" w:type="dxa"/>
          <w:right w:w="0" w:type="dxa"/>
        </w:tblCellMar>
      </w:tblPr>
      <w:tblGrid>
        <w:gridCol w:w="271"/>
        <w:gridCol w:w="5476"/>
      </w:tblGrid>
      <w:tr>
        <w:trPr/>
        <w:tc>
          <w:tcPr>
            <w:tcW w:w="271" w:type="dxa"/>
            <w:tcBorders/>
            <w:vAlign w:val="center"/>
          </w:tcPr>
          <w:p>
            <w:pPr>
              <w:pStyle w:val="TableContents"/>
              <w:bidi w:val="0"/>
              <w:spacing w:before="0" w:after="283"/>
              <w:jc w:val="left"/>
              <w:rPr/>
            </w:pPr>
            <w:r>
              <w:rPr/>
              <w:t>●</w:t>
            </w:r>
          </w:p>
        </w:tc>
        <w:tc>
          <w:tcPr>
            <w:tcW w:w="5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compliance with regulatory requirements;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expenses, which include direct depreciation costs and allocated expenses for rent and maintenance of facilities and other operating costs.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expense research and development costs as incurred.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typically use our employee and infrastructure resources across our development programs. We track outsourced development costs and payments made to our research partners by product candidate or development program, but we do not allocate personnel costs or other internal costs to specific development programs or product candidates.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progress clinical trials for APR-1051. With the closure of ABOYA-119, we are exploring ATRN-119 in potential combination approaches with potential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cannot determine with certainty the duration and costs of planned clinical trials of our product candidates or if, when, or to what extent we will generate revenue from the commercialization and sale of any our product candidates for which we obtain marketing approval. We may never succeed in obtaining marketing approval for any of our product candidates. The duration, costs and timing of clinical trials and development of our product candidates will depend on a variety of factors, including:</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expense and results of any future clinical trials of our product candidates and other research and development activities that we may conduct;</w:t>
            </w:r>
          </w:p>
        </w:tc>
      </w:tr>
    </w:tbl>
    <w:tbl>
      <w:tblPr>
        <w:tblW w:w="6872" w:type="dxa"/>
        <w:jc w:val="left"/>
        <w:tblInd w:w="0" w:type="dxa"/>
        <w:tblLayout w:type="fixed"/>
        <w:tblCellMar>
          <w:top w:w="0" w:type="dxa"/>
          <w:left w:w="0" w:type="dxa"/>
          <w:bottom w:w="0" w:type="dxa"/>
          <w:right w:w="0" w:type="dxa"/>
        </w:tblCellMar>
      </w:tblPr>
      <w:tblGrid>
        <w:gridCol w:w="271"/>
        <w:gridCol w:w="6601"/>
      </w:tblGrid>
      <w:tr>
        <w:trPr/>
        <w:tc>
          <w:tcPr>
            <w:tcW w:w="271"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clinical trial progression, patient enrollment and response rates;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37" w:type="dxa"/>
        <w:jc w:val="left"/>
        <w:tblInd w:w="0" w:type="dxa"/>
        <w:tblLayout w:type="fixed"/>
        <w:tblCellMar>
          <w:top w:w="0" w:type="dxa"/>
          <w:left w:w="0" w:type="dxa"/>
          <w:bottom w:w="0" w:type="dxa"/>
          <w:right w:w="0" w:type="dxa"/>
        </w:tblCellMar>
      </w:tblPr>
      <w:tblGrid>
        <w:gridCol w:w="271"/>
        <w:gridCol w:w="6166"/>
      </w:tblGrid>
      <w:tr>
        <w:trPr/>
        <w:tc>
          <w:tcPr>
            <w:tcW w:w="271" w:type="dxa"/>
            <w:tcBorders/>
            <w:vAlign w:val="center"/>
          </w:tcPr>
          <w:p>
            <w:pPr>
              <w:pStyle w:val="TableContents"/>
              <w:bidi w:val="0"/>
              <w:spacing w:before="0" w:after="283"/>
              <w:jc w:val="left"/>
              <w:rPr/>
            </w:pPr>
            <w:r>
              <w:rPr/>
              <w:t>●</w:t>
            </w:r>
          </w:p>
        </w:tc>
        <w:tc>
          <w:tcPr>
            <w:tcW w:w="6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9302" w:type="dxa"/>
        <w:jc w:val="left"/>
        <w:tblInd w:w="0" w:type="dxa"/>
        <w:tblLayout w:type="fixed"/>
        <w:tblCellMar>
          <w:top w:w="0" w:type="dxa"/>
          <w:left w:w="0" w:type="dxa"/>
          <w:bottom w:w="0" w:type="dxa"/>
          <w:right w:w="0" w:type="dxa"/>
        </w:tblCellMar>
      </w:tblPr>
      <w:tblGrid>
        <w:gridCol w:w="271"/>
        <w:gridCol w:w="9031"/>
      </w:tblGrid>
      <w:tr>
        <w:trPr/>
        <w:tc>
          <w:tcPr>
            <w:tcW w:w="271" w:type="dxa"/>
            <w:tcBorders/>
            <w:vAlign w:val="center"/>
          </w:tcPr>
          <w:p>
            <w:pPr>
              <w:pStyle w:val="TableContents"/>
              <w:bidi w:val="0"/>
              <w:spacing w:before="0" w:after="283"/>
              <w:jc w:val="left"/>
              <w:rPr/>
            </w:pPr>
            <w:r>
              <w:rPr/>
              <w:t>●</w:t>
            </w:r>
          </w:p>
        </w:tc>
        <w:tc>
          <w:tcPr>
            <w:tcW w:w="9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and any limitations imposed by regulatory bodies on, any marketing approvals; and</w:t>
            </w:r>
          </w:p>
        </w:tc>
      </w:tr>
    </w:tbl>
    <w:tbl>
      <w:tblPr>
        <w:tblW w:w="9767" w:type="dxa"/>
        <w:jc w:val="left"/>
        <w:tblInd w:w="0" w:type="dxa"/>
        <w:tblLayout w:type="fixed"/>
        <w:tblCellMar>
          <w:top w:w="0" w:type="dxa"/>
          <w:left w:w="0" w:type="dxa"/>
          <w:bottom w:w="0" w:type="dxa"/>
          <w:right w:w="0" w:type="dxa"/>
        </w:tblCellMar>
      </w:tblPr>
      <w:tblGrid>
        <w:gridCol w:w="271"/>
        <w:gridCol w:w="9496"/>
      </w:tblGrid>
      <w:tr>
        <w:trPr/>
        <w:tc>
          <w:tcPr>
            <w:tcW w:w="271" w:type="dxa"/>
            <w:tcBorders/>
            <w:vAlign w:val="center"/>
          </w:tcPr>
          <w:p>
            <w:pPr>
              <w:pStyle w:val="TableContents"/>
              <w:bidi w:val="0"/>
              <w:spacing w:before="0" w:after="283"/>
              <w:jc w:val="left"/>
              <w:rPr/>
            </w:pPr>
            <w:r>
              <w:rPr/>
              <w:t>●</w:t>
            </w:r>
          </w:p>
        </w:tc>
        <w:tc>
          <w:tcPr>
            <w:tcW w:w="9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change in the outcome of any of the many variables with respect to the development of a product candidate could mean a significant change in the costs and timing associated with the development of that product candidate. For example, if the U.S. Food and Drug Administration, or FDA, or another regulatory authority in a foreign jurisdiction were to require us to conduct clinical trials beyond the scope we currently anticipate, or additional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that our general and administrative expenses will increase in the future as we increase our headcount to support personnel in research and development and to support our operations generally, and as we increase our activities related to the potential commercialization of our product candidates. We also expect to continue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and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consists of income earned on our cash and cash equivalents.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gain and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consolidated financial statements are presented in U.S. dollars, which is our reporting currency. The financial position and results of operations of our subsidiary Aprea AB is measured using the foreign subsidiary’s local currency as the functional currency. Aprea AB cash accounts holding U.S. dollars are remeasured based upon the exchange rate at the date of remeasurement with the resulting gain or loss included in the consolidated statement of operations and comprehensive loss. Expenses of such subsidiaries have been translated into U.S. dollars at average exchange rates prevailing during the period. Assets and liabilities have been translated at the rates of exchange on the consolidated balance sheet date. The resulting translation gain and loss adjustments are recorded directly as a separate component of stockholders’ equity and as other comprehensive loss on the consolidated statement of operations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not recorded any U.S. federal, state or foreign income tax expense or benefits for the net losses we have incurred in any year, due to our uncertainty of realizing a benefit from those items. We have provided a valuation allowance for the full amount of the net deferred tax assets as, based on all available evidence, it is considered more likely than not that all the recorded deferred tax assets will not be realized in a future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management’s discussion and analysis of financial condition and results of operations is based on our financial statements, which have been prepared in accordance with generally accepted accounting principles in the United States. The preparation of our financial statements and related disclosures requires us to make estimates and assumptions that affect the reported amounts of assets and liabilities, costs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our significant accounting policies are described in more detail in the notes to our financial statements, we believe that the following accounting policies are those most critical to the judgments and estimates used in the preparation of our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part of the process of preparing our financial statements, we are required to accrue for research and development expenses at each balance sheet date. This process involves reviewing open contract and purchase orders, communicating with our personnel and service providers to identify services that have been performed on our behalf and the level of service performed and the associated costs incurred for the services when we have not yet been invoiced. The majority of our service providers invoice us in arrears for services performed, on a pre-determined schedule or when contractual milestones are met; however, some require advanced payments. We accrue research and development expenses as of each balance sheet date in our financial statements based on facts and circumstances known to us at that time. Examples of accrued research and development expenses include fees paid to:</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 in connection with performing research activities on our behalf and conducting preclinical studies and clinical trials on our behalf;</w:t>
            </w:r>
          </w:p>
        </w:tc>
      </w:tr>
    </w:tbl>
    <w:tbl>
      <w:tblPr>
        <w:tblW w:w="6737" w:type="dxa"/>
        <w:jc w:val="left"/>
        <w:tblInd w:w="0" w:type="dxa"/>
        <w:tblLayout w:type="fixed"/>
        <w:tblCellMar>
          <w:top w:w="0" w:type="dxa"/>
          <w:left w:w="0" w:type="dxa"/>
          <w:bottom w:w="0" w:type="dxa"/>
          <w:right w:w="0" w:type="dxa"/>
        </w:tblCellMar>
      </w:tblPr>
      <w:tblGrid>
        <w:gridCol w:w="271"/>
        <w:gridCol w:w="6466"/>
      </w:tblGrid>
      <w:tr>
        <w:trPr/>
        <w:tc>
          <w:tcPr>
            <w:tcW w:w="271" w:type="dxa"/>
            <w:tcBorders/>
            <w:vAlign w:val="center"/>
          </w:tcPr>
          <w:p>
            <w:pPr>
              <w:pStyle w:val="TableContents"/>
              <w:bidi w:val="0"/>
              <w:spacing w:before="0" w:after="283"/>
              <w:jc w:val="left"/>
              <w:rPr/>
            </w:pPr>
            <w:r>
              <w:rPr/>
              <w:t>●</w:t>
            </w:r>
          </w:p>
        </w:tc>
        <w:tc>
          <w:tcPr>
            <w:tcW w:w="6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investigative sites or other service providers in connection with clinical trials;</w:t>
            </w:r>
          </w:p>
        </w:tc>
      </w:tr>
    </w:tbl>
    <w:tbl>
      <w:tblPr>
        <w:tblW w:w="6872" w:type="dxa"/>
        <w:jc w:val="left"/>
        <w:tblInd w:w="0" w:type="dxa"/>
        <w:tblLayout w:type="fixed"/>
        <w:tblCellMar>
          <w:top w:w="0" w:type="dxa"/>
          <w:left w:w="0" w:type="dxa"/>
          <w:bottom w:w="0" w:type="dxa"/>
          <w:right w:w="0" w:type="dxa"/>
        </w:tblCellMar>
      </w:tblPr>
      <w:tblGrid>
        <w:gridCol w:w="271"/>
        <w:gridCol w:w="6601"/>
      </w:tblGrid>
      <w:tr>
        <w:trPr/>
        <w:tc>
          <w:tcPr>
            <w:tcW w:w="271"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vendors in connection with preclinical and clinical development activities; and</w:t>
            </w:r>
          </w:p>
        </w:tc>
      </w:tr>
    </w:tbl>
    <w:tbl>
      <w:tblPr>
        <w:tblW w:w="9482" w:type="dxa"/>
        <w:jc w:val="left"/>
        <w:tblInd w:w="0" w:type="dxa"/>
        <w:tblLayout w:type="fixed"/>
        <w:tblCellMar>
          <w:top w:w="0" w:type="dxa"/>
          <w:left w:w="0" w:type="dxa"/>
          <w:bottom w:w="0" w:type="dxa"/>
          <w:right w:w="0" w:type="dxa"/>
        </w:tblCellMar>
      </w:tblPr>
      <w:tblGrid>
        <w:gridCol w:w="271"/>
        <w:gridCol w:w="9211"/>
      </w:tblGrid>
      <w:tr>
        <w:trPr/>
        <w:tc>
          <w:tcPr>
            <w:tcW w:w="271" w:type="dxa"/>
            <w:tcBorders/>
            <w:vAlign w:val="center"/>
          </w:tcPr>
          <w:p>
            <w:pPr>
              <w:pStyle w:val="TableContents"/>
              <w:bidi w:val="0"/>
              <w:spacing w:before="0" w:after="283"/>
              <w:jc w:val="left"/>
              <w:rPr/>
            </w:pPr>
            <w:r>
              <w:rPr/>
              <w:t>●</w:t>
            </w:r>
          </w:p>
        </w:tc>
        <w:tc>
          <w:tcPr>
            <w:tcW w:w="9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vendors related to product manufacturing and development and distribution of preclinical and clinical supplies.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base our expenses related to preclinical studies and clinical trials on the services received and efforts expended pursuant to quotes and contracts with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are fee for service or depend on factors such as the successful enrollment of patients and the completion of clinical trial milestones. If the actual timing of the performance of services or the level of effort varies from the amount accrued, we adjust the accrual or amount of prepaid expense accordingly. Although we do not expect our accrued research and development expenses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accruals of research and development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Smaller reporting company status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a “smaller reporting company,” as such term is defined in Rule 12b-2 of the Exchange Act. We will continue to be a smaller reporting company so long as either (i) the market value of our common stock held by non-affiliates is less than $250 million or (ii) our annual revenue is less than $100 million during the most recently completed fiscal year and the market value of our common stock held by non-affiliates is less than $700 million. As a smaller reporting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continue to rely on exemptions from certain disclosure requirements that are available to smaller reporting companies, including presenting only the two most recent fiscal years of audited financial statements in our Annual Report on Form 10-K and reduced disclosure obligations regarding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 xml:space="preserve">Comparison of the three months ended June 30, 2026 and 2025 </w:t>
      </w:r>
    </w:p>
    <w:tbl>
      <w:tblPr>
        <w:tblW w:w="7281" w:type="dxa"/>
        <w:jc w:val="left"/>
        <w:tblInd w:w="0" w:type="dxa"/>
        <w:tblLayout w:type="fixed"/>
        <w:tblCellMar>
          <w:top w:w="0" w:type="dxa"/>
          <w:left w:w="0" w:type="dxa"/>
          <w:bottom w:w="0" w:type="dxa"/>
          <w:right w:w="0" w:type="dxa"/>
        </w:tblCellMar>
      </w:tblPr>
      <w:tblGrid>
        <w:gridCol w:w="2386"/>
        <w:gridCol w:w="346"/>
        <w:gridCol w:w="211"/>
        <w:gridCol w:w="1051"/>
        <w:gridCol w:w="346"/>
        <w:gridCol w:w="226"/>
        <w:gridCol w:w="1051"/>
        <w:gridCol w:w="346"/>
        <w:gridCol w:w="226"/>
        <w:gridCol w:w="901"/>
        <w:gridCol w:w="191"/>
      </w:tblGrid>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7385" cy="175260"/>
                      <wp:effectExtent l="0" t="0" r="0" b="0"/>
                      <wp:wrapNone/>
                      <wp:docPr id="73" name="Frame7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3510" cy="175260"/>
                      <wp:effectExtent l="0" t="0" r="0" b="0"/>
                      <wp:wrapNone/>
                      <wp:docPr id="75" name="Frame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7385" cy="175260"/>
                      <wp:effectExtent l="0" t="0" r="0" b="0"/>
                      <wp:wrapNone/>
                      <wp:docPr id="76" name="Frame7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3510" cy="175260"/>
                      <wp:effectExtent l="0" t="0" r="0" b="0"/>
                      <wp:wrapNone/>
                      <wp:docPr id="78" name="Frame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72135" cy="175260"/>
                      <wp:effectExtent l="0" t="0" r="0" b="0"/>
                      <wp:wrapNone/>
                      <wp:docPr id="79" name="Frame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1285" cy="175260"/>
                      <wp:effectExtent l="0" t="0" r="0" b="0"/>
                      <wp:wrapNone/>
                      <wp:docPr id="80" name="Frame8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8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1"/>
              <w:ind w:left="0" w:right="0" w:hanging="0"/>
              <w:jc w:val="left"/>
              <w:rPr/>
            </w:pPr>
            <w:r>
              <w:rPr/>
              <w:t> </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118,111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(118,111)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2,462,042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1,912,213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549,829</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1,570,138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1,593,671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(23,533)</w:t>
            </w:r>
          </w:p>
        </w:tc>
        <w:tc>
          <w:tcPr>
            <w:tcW w:w="191" w:type="dxa"/>
            <w:tcBorders/>
            <w:vAlign w:val="center"/>
          </w:tcPr>
          <w:p>
            <w:pPr>
              <w:pStyle w:val="TableContents"/>
              <w:bidi w:val="0"/>
              <w:spacing w:before="0" w:after="1"/>
              <w:ind w:left="0" w:right="0" w:hanging="0"/>
              <w:jc w:val="left"/>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4,032,180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3,505,884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526,296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(4,032,180)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(3,387,773)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(644,407)</w:t>
            </w:r>
          </w:p>
        </w:tc>
        <w:tc>
          <w:tcPr>
            <w:tcW w:w="191" w:type="dxa"/>
            <w:tcBorders/>
            <w:vAlign w:val="center"/>
          </w:tcPr>
          <w:p>
            <w:pPr>
              <w:pStyle w:val="TableContents"/>
              <w:bidi w:val="0"/>
              <w:spacing w:before="0" w:after="1"/>
              <w:ind w:left="0" w:right="0" w:hanging="0"/>
              <w:jc w:val="left"/>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358,923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180,896</w:t>
            </w:r>
          </w:p>
        </w:tc>
        <w:tc>
          <w:tcPr>
            <w:tcW w:w="191" w:type="dxa"/>
            <w:tcBorders/>
            <w:vAlign w:val="center"/>
          </w:tcPr>
          <w:p>
            <w:pPr>
              <w:pStyle w:val="TableContents"/>
              <w:bidi w:val="0"/>
              <w:spacing w:before="0" w:after="1"/>
              <w:ind w:left="0" w:right="0" w:hanging="0"/>
              <w:jc w:val="left"/>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(29,124)</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32,077</w:t>
            </w:r>
          </w:p>
        </w:tc>
        <w:tc>
          <w:tcPr>
            <w:tcW w:w="191" w:type="dxa"/>
            <w:tcBorders/>
            <w:vAlign w:val="center"/>
          </w:tcPr>
          <w:p>
            <w:pPr>
              <w:pStyle w:val="TableContents"/>
              <w:bidi w:val="0"/>
              <w:spacing w:before="0" w:after="1"/>
              <w:ind w:left="0" w:right="0" w:hanging="0"/>
              <w:jc w:val="left"/>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440,876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148,903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291,973</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(3,591,304)</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(3,238,870)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(352,434)</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240" w:after="0"/>
        <w:ind w:left="0" w:right="0" w:hanging="0"/>
        <w:jc w:val="left"/>
        <w:rPr>
          <w:rFonts w:ascii="Times New Roman;Times;serif" w:hAnsi="Times New Roman;Times;serif"/>
          <w:i/>
          <w:sz w:val="20"/>
        </w:rPr>
      </w:pPr>
      <w:r>
        <w:rPr>
          <w:rFonts w:ascii="Times New Roman;Times;serif" w:hAnsi="Times New Roman;Times;serif"/>
          <w:i/>
          <w:sz w:val="20"/>
        </w:rPr>
        <w:t>Grant revenue</w:t>
      </w:r>
    </w:p>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Grant revenue primarily from the National Cancer Institute of the National Institutes of Health (“NIH”) for the three months ended June 30, 2025 was $0.1 million. No grant revenue was recognized for the three months ended June 30, 2026, as the grants from NIH have been exhausted.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tbl>
      <w:tblPr>
        <w:tblW w:w="8691" w:type="dxa"/>
        <w:jc w:val="left"/>
        <w:tblInd w:w="0" w:type="dxa"/>
        <w:tblLayout w:type="fixed"/>
        <w:tblCellMar>
          <w:top w:w="0" w:type="dxa"/>
          <w:left w:w="0" w:type="dxa"/>
          <w:bottom w:w="0" w:type="dxa"/>
          <w:right w:w="0" w:type="dxa"/>
        </w:tblCellMar>
      </w:tblPr>
      <w:tblGrid>
        <w:gridCol w:w="4051"/>
        <w:gridCol w:w="346"/>
        <w:gridCol w:w="211"/>
        <w:gridCol w:w="931"/>
        <w:gridCol w:w="346"/>
        <w:gridCol w:w="211"/>
        <w:gridCol w:w="931"/>
        <w:gridCol w:w="346"/>
        <w:gridCol w:w="226"/>
        <w:gridCol w:w="901"/>
        <w:gridCol w:w="191"/>
      </w:tblGrid>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91185" cy="175260"/>
                      <wp:effectExtent l="0" t="0" r="0" b="0"/>
                      <wp:wrapNone/>
                      <wp:docPr id="83" name="Frame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6" name="Frame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510" cy="175260"/>
                      <wp:effectExtent l="0" t="0" r="0" b="0"/>
                      <wp:wrapNone/>
                      <wp:docPr id="88" name="Frame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72135" cy="175260"/>
                      <wp:effectExtent l="0" t="0" r="0" b="0"/>
                      <wp:wrapNone/>
                      <wp:docPr id="89" name="Frame8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1285" cy="175260"/>
                      <wp:effectExtent l="0" t="0" r="0" b="0"/>
                      <wp:wrapNone/>
                      <wp:docPr id="90" name="Frame9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1"/>
              <w:ind w:left="0" w:right="0" w:hanging="0"/>
              <w:jc w:val="left"/>
              <w:rPr/>
            </w:pPr>
            <w:r>
              <w:rPr/>
              <w:t> </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APR-1051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694,109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807,336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ATRN-119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542,350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868,732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(326,382)</w:t>
            </w:r>
          </w:p>
        </w:tc>
        <w:tc>
          <w:tcPr>
            <w:tcW w:w="191" w:type="dxa"/>
            <w:tcBorders/>
            <w:vAlign w:val="center"/>
          </w:tcPr>
          <w:p>
            <w:pPr>
              <w:pStyle w:val="TableContents"/>
              <w:bidi w:val="0"/>
              <w:spacing w:before="0" w:after="1"/>
              <w:ind w:left="0" w:right="0" w:hanging="0"/>
              <w:jc w:val="lef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APR-246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62,137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early-stage development programs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28,531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29,532</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w:t>
            </w:r>
          </w:p>
        </w:tc>
        <w:tc>
          <w:tcPr>
            <w:tcW w:w="191" w:type="dxa"/>
            <w:tcBorders/>
            <w:vAlign w:val="center"/>
          </w:tcPr>
          <w:p>
            <w:pPr>
              <w:pStyle w:val="TableContents"/>
              <w:bidi w:val="0"/>
              <w:spacing w:before="0" w:after="1"/>
              <w:ind w:left="0" w:right="0" w:hanging="0"/>
              <w:jc w:val="lef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321,996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314,257</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7,739</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2,462,042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1,912,213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549,829</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for the three months ended June 30, 2026 were approximately $2.5 million, compared to approximately $1.9 million for the three months ended June 30, 2025. The overall increase of $0.6 million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$0.8 million related to ACESOT-1051, our Phase 1 dose-escalation study for APR-1051, our small molecule WEE1 inhibitor; and</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$0.3 million related to the ABOYA-119 clinical trial to evaluate ATRN-119, which has been closed.</w:t>
            </w:r>
          </w:p>
        </w:tc>
      </w:tr>
    </w:tbl>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three months ended June 30, 2026 were approximately $1.6 million, compared to approximately $1.6 million for the three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 xml:space="preserve">Other income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Foreign currency gain for the three months ended June 30, 2026 was $2,953 compared to a foreign currency loss of $29,124 for the three months ended June 30, 2025. The change in the foreign currency gain (loss) of $32,077 was primarily due to a strengthening of the U.S. dollar against the Swedish Krona during the three months ended June 30, 2026 as compared to the three months ended June 30, 2025. Other income was $79,000 for the three months ended June 30, 2026 and was related to the monetization of a portion of the Company’s state net operating loss carryforwards. Interest income for the three months ended June 30, 2026 and 2025 primarily consisted of interest income on our cash and cash equivalents. </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 xml:space="preserve">Comparison of the six months ended June 30, 2026 and 2025 </w:t>
      </w:r>
    </w:p>
    <w:tbl>
      <w:tblPr>
        <w:tblW w:w="7150" w:type="dxa"/>
        <w:jc w:val="left"/>
        <w:tblInd w:w="0" w:type="dxa"/>
        <w:tblLayout w:type="fixed"/>
        <w:tblCellMar>
          <w:top w:w="0" w:type="dxa"/>
          <w:left w:w="0" w:type="dxa"/>
          <w:bottom w:w="0" w:type="dxa"/>
          <w:right w:w="0" w:type="dxa"/>
        </w:tblCellMar>
      </w:tblPr>
      <w:tblGrid>
        <w:gridCol w:w="2386"/>
        <w:gridCol w:w="346"/>
        <w:gridCol w:w="226"/>
        <w:gridCol w:w="1051"/>
        <w:gridCol w:w="346"/>
        <w:gridCol w:w="226"/>
        <w:gridCol w:w="1051"/>
        <w:gridCol w:w="346"/>
        <w:gridCol w:w="226"/>
        <w:gridCol w:w="946"/>
      </w:tblGrid>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92" name="Frame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7385" cy="175260"/>
                      <wp:effectExtent l="0" t="0" r="0" b="0"/>
                      <wp:wrapNone/>
                      <wp:docPr id="93" name="Frame9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7385" cy="175260"/>
                      <wp:effectExtent l="0" t="0" r="0" b="0"/>
                      <wp:wrapNone/>
                      <wp:docPr id="96" name="Frame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3510" cy="175260"/>
                      <wp:effectExtent l="0" t="0" r="0" b="0"/>
                      <wp:wrapNone/>
                      <wp:docPr id="98" name="Frame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00710" cy="175260"/>
                      <wp:effectExtent l="0" t="0" r="0" b="0"/>
                      <wp:wrapNone/>
                      <wp:docPr id="99" name="Frame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9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280,574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(280,574)</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center"/>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4,073,209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4,395,279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(322,070)</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3,389,383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3,358,650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30,733</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7,462,592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7,753,929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(291,337)</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(7,462,592)</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(7,473,355)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10,763</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493,707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382,753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110,954</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10,664</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(80,927)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91,591</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583,371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301,826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281,545</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(6,879,221)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(7,171,529)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292,308</w:t>
            </w:r>
          </w:p>
        </w:tc>
      </w:tr>
    </w:tbl>
    <w:p>
      <w:pPr>
        <w:pStyle w:val="TextBody"/>
        <w:bidi w:val="0"/>
        <w:spacing w:before="240" w:after="0"/>
        <w:ind w:left="0" w:right="0" w:hanging="0"/>
        <w:jc w:val="left"/>
        <w:rPr>
          <w:rFonts w:ascii="Times New Roman;Times;serif" w:hAnsi="Times New Roman;Times;serif"/>
          <w:i/>
          <w:sz w:val="20"/>
        </w:rPr>
      </w:pPr>
      <w:r>
        <w:rPr>
          <w:rFonts w:ascii="Times New Roman;Times;serif" w:hAnsi="Times New Roman;Times;serif"/>
          <w:i/>
          <w:sz w:val="20"/>
        </w:rPr>
        <w:t>Grant revenue</w:t>
      </w:r>
    </w:p>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Grant revenue primarily from the NIH the six months ended June 30, 2025 was $0.3 million. No grant revenue was recognized for the six months ended June 30, 2026. The decrease in grant revenue of $0.3 million is due to recognizing less grant revenue from the NIH as these grants have been exhausted.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tbl>
      <w:tblPr>
        <w:tblW w:w="8680" w:type="dxa"/>
        <w:jc w:val="left"/>
        <w:tblInd w:w="0" w:type="dxa"/>
        <w:tblLayout w:type="fixed"/>
        <w:tblCellMar>
          <w:top w:w="0" w:type="dxa"/>
          <w:left w:w="0" w:type="dxa"/>
          <w:bottom w:w="0" w:type="dxa"/>
          <w:right w:w="0" w:type="dxa"/>
        </w:tblCellMar>
      </w:tblPr>
      <w:tblGrid>
        <w:gridCol w:w="4051"/>
        <w:gridCol w:w="346"/>
        <w:gridCol w:w="211"/>
        <w:gridCol w:w="931"/>
        <w:gridCol w:w="346"/>
        <w:gridCol w:w="211"/>
        <w:gridCol w:w="931"/>
        <w:gridCol w:w="346"/>
        <w:gridCol w:w="211"/>
        <w:gridCol w:w="1096"/>
      </w:tblGrid>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1185" cy="175260"/>
                      <wp:effectExtent l="0" t="0" r="0" b="0"/>
                      <wp:wrapNone/>
                      <wp:docPr id="102" name="Frame1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5" name="Frame1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5960" cy="175260"/>
                      <wp:effectExtent l="0" t="0" r="0" b="0"/>
                      <wp:wrapNone/>
                      <wp:docPr id="108" name="Frame10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APR-1051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2,411,012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1,536,094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874,918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ATRN-119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880,804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2,008,305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(1,127,501)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APR-246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78,800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early-stage development programs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119,135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(89,938)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679,795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738,144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(58,349)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4,073,209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4,395,279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(322,070)</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for the six months ended June 30, 2026 were approximately $4.1 million, compared to approximately $4.4 million for the six months ended June 30, 2025. The overall decrease of $0.3 million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$0.9 million related to ACESOT-1051, our Phase 1 dose-escalation study for APR-1051, our small molecule WEE1 inhibitor; </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$1.1 million related to the ABOYA-119 clinical trial to evaluate ATRN-119, which has been closed;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$0.1 million in other early-stage development programs and unallocated research and development expenses.</w:t>
            </w:r>
          </w:p>
        </w:tc>
      </w:tr>
    </w:tbl>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six months ended June 30, 2026 were approximately $3.4 million, compared to approximately $3.4 million for the six months ended June 30, 2025. </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 xml:space="preserve">Other income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Foreign currency gain for the six months ended June 30, 2026 was $10,664 compared to a foreign currency loss of $80,927 for the six months ended June 30, 2025. The change in the foreign currency gain (loss) of $91,591 was primarily due to a strengthening of the U.S. dollar against the Swedish Krona during the six months ended June 30, 2026 as compared to the six months ended June 30, 2025. Other income was $79,000 for the six months ended June 30, 2026 and was related to the monetization of a portion of the Company’s state net operating loss carryforwards. Interest income for the six months ended June 30, 2026 and 2025 primarily consisted of interest income on our cash and cash equivalents. </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Since our inception, we have incurred significant losses on an aggregate basis. We have not yet commercialized any of our product candidates, which are in various phases of preclinical and clinical development, and we do not expect to generate revenue from sales of any products for several years, if at all. Our ability to generate product revenue sufficient to achieve profitability will depend on the successful development and eventual commercialization of one or more of our product candidates. Since 2019, our primary source of funds has been from the public sales of our common stock. As of June 30, 2026, we had cash and cash equivalents of $41.2 million. Based on our current operating plan, we believe that our existing cash and cash equivalents will enable us to fund our operating expenses and capital expenditure requirements into the first quarter of 2028.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net losses were $6.9 million and $7.2 million for the six months ended June 30, 2026 and 2025, respectively. As of June 30, 2026, we had an accumulated deficit of $340.5 million. These losses have resulted primarily from costs incurred in connection with research and development activities, patent investment, and general and administrative costs associated with our operations. We expect to continue to incur significant expenses and increasing operating losses for at least the next several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8, 2024, we entered into an At the Market Offering Agreement, or the 2024 ATM Agreement, with H.C. Wainright &amp; Co., LLC, or HCW. Pursuant to the 2024 ATM Agreement and the prospectus supplement filed in connection therewith, we may, from time to time, in our sole discretion, issue and sell through HCW, acting as sales agent and/or principal, up to $3.0 million of shares of our common stock. During the six months ended June 30, 2026, we did not issue and sell any shares of common stock under the 2024 ATM Agreement. During the year ended December 31, 2025, we issued and sold 1,337,948 shares of common stock under the 2024 ATM Agreement resulting in net proceeds of approximately $1.9 million.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8, 2025, we entered into a securities purchase agreement with certain purchasers, or the December Purchasers, pursuant to which we agreed to issue and sell to the December Purchasers in a private placement offering exempt from registration under the Securities Act of 1933, as amended, or the Securities Act, and the December Purchasers agreed to purchase from us (i) 26,459 shares of our common stock at a purchase price of $1.165 per share, or the December 2025 Shares, (ii) pre-funded common stock purchase warrants, or the December 2025 Pre-Funded Warrants, at a purchase price of $1.164 to purchase an aggregate of up to 2,596,564 shares of our common stock at an exercise price of $0.001 per share, (iii) common stock purchase warrants to purchase up to 2,880,533 shares of our common stock at an exercise price of $1.04 per share, or the December 2025 Warrants, including this issuance of a warrant to purchase up to 257,510 shares of our common stock to the placement agent, or the Placement Agent Warrant. The December 2025 Warrants and the Placement Agent Warrant will be exercisable until the five-year anniversary of issuance. To the extent that the exercise of a December 2025 Warrant would result in the holder beneficially owning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greater than 4.99% (or, at the election of the holder, greater than 9.99%) of our outstanding common stock immediately following such exercise, the holder will instead receive pre-funded warrants in substantially the same form as the December 2025 Pre-Funded Warrants issued at closing. The aggregate upfront gross proceeds from the issuance of the December 2025 Shares and December 2025 Pre-Funded Warrants totaled approximately $3.1 million, before deducting placement agent fees and offering costs of approximately $0.4 million. In December 2025, we registered on Form S-3 the resale of the December 2025 Shares, the December 2025 Pre-Funded Shares and the shares underlying the December 2025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28, 2026, we entered into a securities purchase agreement with certain purchasers, or the January Purchasers, pursuant to which we agreed to issue and sell to the January Purchasers in a private placement offering exempt from registration under the Securities Act of 1933, as amended, or the Securities Act, and the January Purchasers agreed to purchase from us (i) 1,877,677 shares of our common stock at a purchase price of $0.8891 per share, or the January 2026 Shares, (ii) pre-funded common stock purchase warrants, or the January 2026 Pre-Funded Warrants at a purchase price of $0.8881 to purchase an aggregate of up to 4,411,180 shares of our common stock at an exercise price of $0.001 per share, or the January 2026 Pre-Funded Shares, (iii) common stock purchase warrants to purchase up to 6,288,857 shares of our common stock at an exercise price of $0.765 per share, or the January 2026 Warrants. The January 2026 Warrants will be exercisable until the two-year anniversary of issuance. To the extent that the exercise of a January 2026 Warrant would result in the holder beneficially owning greater than 4.99% (or, at the election of the holder, greater than 9.99%) of our outstanding common stock immediately following such exercise, the holder will instead receive pre-funded warrants in substantially the same form as the January 2026 Pre-Funded Warrants issued at closing. The aggregate upfront gross proceeds from the issuance of the January 2026 Shares and January 2026 Pre-Funded Warrants totaled approximately $5.6 million, before deducting placement agent fees and offering costs of approximately $0.5 million.</w:t>
      </w:r>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On March 30, 2026, we entered into a securities purchase agreement with certain purchasers, or the March Purchasers, pursuant to which we agreed to issue and sell to the March Purchasers in a private placement offering exempt from registration under the Securities Act of 1933, as amended, or the Securities Act, and the March Purchasers agreed to purchase from us (i)  pre-funded common stock purchase warrants, or the March 2026 Pre-Funded Warrants, at a purchase price of $0.807 to purchase an aggregate of up to 37,174,713 shares of our common stock at an exercise price of $0.001 per share, or the March 2026 Pre-Funded Shares and (ii) common stock purchase warrants to purchase up to 37,174,713 shares of our common stock at an exercise price of $0.683 per share, or the March 2026 Warrants. The March 2026 Warrants will be exercisable until December 31, 2029. However, if the holder exercises all or a portion of the March 2026 Pre-Funded Warrants then the termination date shall be the 30</w:t>
      </w:r>
      <w:r>
        <w:rPr>
          <w:rFonts w:ascii="Times New Roman;Times;serif" w:hAnsi="Times New Roman;Times;serif"/>
          <w:sz w:val="15"/>
        </w:rPr>
        <w:t>th</w:t>
      </w:r>
      <w:r>
        <w:rPr>
          <w:rFonts w:ascii="Times New Roman;Times;serif" w:hAnsi="Times New Roman;Times;serif"/>
          <w:sz w:val="20"/>
        </w:rPr>
        <w:t xml:space="preserve"> calendar day after the holder exercises such March 2026 Pre-Funded Warrants. To the extent that the exercise of a March 2026 Warrant would result in the holder beneficially owning greater than 4.99% (or, at the election of the holder, greater than 9.99%) of our outstanding common stock immediately following such exercise, the holder will instead receive pre-funded warrants in substantially the same form as the March 2026 Pre-Funded Warrants issued at closing. The aggregate upfront gross proceeds from the issuance of the March 2026 Pre-Funded Warrants totaled approximately $30.0 million, before deducting placement agent fees and offering costs of approximately $2.4 million. In April 2026, we registered on Form S-3 the resale of the March 2026 Pre-Funded Shares and the shares underlying the March 2026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future, we may periodically offer securities in amounts, prices and terms to be announced when and if the securities are offered. If any of the securities covered by the 2024 Shelf Registration Statement are offered for sale, a prospectus supplement will be prepared and filed with the SEC containing specific information about the terms of such offering at that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p>
      <w:pPr>
        <w:pStyle w:val="TextBody"/>
        <w:bidi w:val="0"/>
        <w:spacing w:before="0" w:after="0"/>
        <w:ind w:left="0" w:right="0" w:hanging="0"/>
        <w:jc w:val="left"/>
        <w:rPr/>
      </w:pPr>
      <w:r>
        <w:rPr/>
        <w:t>​</w:t>
      </w:r>
    </w:p>
    <w:tbl>
      <w:tblPr>
        <w:tblW w:w="6513" w:type="dxa"/>
        <w:jc w:val="left"/>
        <w:tblInd w:w="0" w:type="dxa"/>
        <w:tblLayout w:type="fixed"/>
        <w:tblCellMar>
          <w:top w:w="0" w:type="dxa"/>
          <w:left w:w="0" w:type="dxa"/>
          <w:bottom w:w="0" w:type="dxa"/>
          <w:right w:w="0" w:type="dxa"/>
        </w:tblCellMar>
      </w:tblPr>
      <w:tblGrid>
        <w:gridCol w:w="3106"/>
        <w:gridCol w:w="346"/>
        <w:gridCol w:w="211"/>
        <w:gridCol w:w="1051"/>
        <w:gridCol w:w="346"/>
        <w:gridCol w:w="211"/>
        <w:gridCol w:w="1051"/>
        <w:gridCol w:w="191"/>
      </w:tblGrid>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7385" cy="175260"/>
                      <wp:effectExtent l="0" t="0" r="0" b="0"/>
                      <wp:wrapNone/>
                      <wp:docPr id="111" name="Frame1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7385" cy="175260"/>
                      <wp:effectExtent l="0" t="0" r="0" b="0"/>
                      <wp:wrapNone/>
                      <wp:docPr id="114" name="Frame1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1285" cy="175260"/>
                      <wp:effectExtent l="0" t="0" r="0" b="0"/>
                      <wp:wrapNone/>
                      <wp:docPr id="115" name="Frame11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(6,035,489)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(6,761,917)</w:t>
            </w:r>
          </w:p>
        </w:tc>
        <w:tc>
          <w:tcPr>
            <w:tcW w:w="191"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32,686,442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440,728</w:t>
            </w:r>
          </w:p>
        </w:tc>
        <w:tc>
          <w:tcPr>
            <w:tcW w:w="191"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26,634,510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(6,317,183)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operating activities resulted primarily from our net losses adjusted for non-cash charges and changes in components of working capital. Net cash used in operating activities was $6.0 million for the six months ended June 30, 2026 compared to $6.8 million for the six months ended June 30, 2025. The decrease in cash used in operating activities of $0.8 million was primarily attributable to a change in operating assets and liabilities of $0.6 million and a decrease in our net loss of $0.3 million, partially offset by non-cash items of $0.1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r>
        <w:rPr>
          <w:rFonts w:ascii="Times New Roman;Times;serif" w:hAnsi="Times New Roman;Times;serif"/>
          <w:i w:val="false"/>
          <w:caps w:val="false"/>
          <w:smallCaps w:val="false"/>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used in investing activities for the six months ended June 30, 2026 of $15,400 was for the purchase of property and equipment. No cash was used in or provided by investing activities for the six months ended June 30,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r>
        <w:rPr>
          <w:rFonts w:ascii="Times New Roman;Times;serif" w:hAnsi="Times New Roman;Times;serif"/>
          <w:i w:val="false"/>
          <w:caps w:val="false"/>
          <w:smallCaps w:val="false"/>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 was $32.7 million for the six months ended June 30, 2026. Cash provided by financing activities for the six months ended June 30, 2026 was attributable to the net proceeds of approximately $32.7 million, after deducting approximately $2.9 million in issuance costs, received from sales of common stock and pre-funded warrants in the January 2026 and March 2026 Private Placements</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Net c</w:t>
      </w:r>
      <w:r>
        <w:rPr>
          <w:rFonts w:ascii="Times New Roman;Times;serif" w:hAnsi="Times New Roman;Times;serif"/>
          <w:sz w:val="20"/>
        </w:rPr>
        <w:t>ash provided by financing activities of $0.4 million for the six months ended June 30, 2025</w:t>
      </w:r>
      <w:r>
        <w:rPr>
          <w:rFonts w:ascii="Times New Roman;Times;serif" w:hAnsi="Times New Roman;Times;serif"/>
          <w:sz w:val="20"/>
          <w:shd w:fill="FFFFFF" w:val="clear"/>
        </w:rPr>
        <w:t xml:space="preserve"> was attributable to </w:t>
      </w:r>
      <w:r>
        <w:rPr>
          <w:rFonts w:ascii="Times New Roman;Times;serif" w:hAnsi="Times New Roman;Times;serif"/>
          <w:sz w:val="20"/>
        </w:rPr>
        <w:t>the net proceeds of $0.4 million, after deducting approximately $18,000 in issuance costs, received from sales of common stock under the 2024 ATM Agreement</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our expenses to increase in connection with our ongoing and planned development activities. In addition, we have incurred and continue to incur additional costs associated with operating as a public company. We expect that our expenses will increase substantially if and as we:</w:t>
      </w:r>
    </w:p>
    <w:tbl>
      <w:tblPr>
        <w:tblW w:w="8252" w:type="dxa"/>
        <w:jc w:val="left"/>
        <w:tblInd w:w="0" w:type="dxa"/>
        <w:tblLayout w:type="fixed"/>
        <w:tblCellMar>
          <w:top w:w="0" w:type="dxa"/>
          <w:left w:w="0" w:type="dxa"/>
          <w:bottom w:w="0" w:type="dxa"/>
          <w:right w:w="0" w:type="dxa"/>
        </w:tblCellMar>
      </w:tblPr>
      <w:tblGrid>
        <w:gridCol w:w="271"/>
        <w:gridCol w:w="7981"/>
      </w:tblGrid>
      <w:tr>
        <w:trPr/>
        <w:tc>
          <w:tcPr>
            <w:tcW w:w="271" w:type="dxa"/>
            <w:tcBorders/>
            <w:vAlign w:val="center"/>
          </w:tcPr>
          <w:p>
            <w:pPr>
              <w:pStyle w:val="TableContents"/>
              <w:bidi w:val="0"/>
              <w:spacing w:before="0" w:after="283"/>
              <w:jc w:val="left"/>
              <w:rPr/>
            </w:pPr>
            <w:r>
              <w:rPr/>
              <w:t>●</w:t>
            </w:r>
          </w:p>
        </w:tc>
        <w:tc>
          <w:tcPr>
            <w:tcW w:w="7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and conduct clinical trials and additional preclinical research for our product candidates;</w:t>
            </w:r>
          </w:p>
        </w:tc>
      </w:tr>
    </w:tbl>
    <w:tbl>
      <w:tblPr>
        <w:tblW w:w="5267" w:type="dxa"/>
        <w:jc w:val="left"/>
        <w:tblInd w:w="0" w:type="dxa"/>
        <w:tblLayout w:type="fixed"/>
        <w:tblCellMar>
          <w:top w:w="0" w:type="dxa"/>
          <w:left w:w="0" w:type="dxa"/>
          <w:bottom w:w="0" w:type="dxa"/>
          <w:right w:w="0" w:type="dxa"/>
        </w:tblCellMar>
      </w:tblPr>
      <w:tblGrid>
        <w:gridCol w:w="271"/>
        <w:gridCol w:w="4996"/>
      </w:tblGrid>
      <w:tr>
        <w:trPr/>
        <w:tc>
          <w:tcPr>
            <w:tcW w:w="271" w:type="dxa"/>
            <w:tcBorders/>
            <w:vAlign w:val="center"/>
          </w:tcPr>
          <w:p>
            <w:pPr>
              <w:pStyle w:val="TableContents"/>
              <w:bidi w:val="0"/>
              <w:spacing w:before="0" w:after="283"/>
              <w:jc w:val="left"/>
              <w:rPr/>
            </w:pPr>
            <w:r>
              <w:rPr/>
              <w:t>●</w:t>
            </w:r>
          </w:p>
        </w:tc>
        <w:tc>
          <w:tcPr>
            <w:tcW w:w="4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and develop additional product candidates;</w:t>
            </w:r>
          </w:p>
        </w:tc>
      </w:tr>
    </w:tbl>
    <w:tbl>
      <w:tblPr>
        <w:tblW w:w="9137" w:type="dxa"/>
        <w:jc w:val="left"/>
        <w:tblInd w:w="0" w:type="dxa"/>
        <w:tblLayout w:type="fixed"/>
        <w:tblCellMar>
          <w:top w:w="0" w:type="dxa"/>
          <w:left w:w="0" w:type="dxa"/>
          <w:bottom w:w="0" w:type="dxa"/>
          <w:right w:w="0" w:type="dxa"/>
        </w:tblCellMar>
      </w:tblPr>
      <w:tblGrid>
        <w:gridCol w:w="271"/>
        <w:gridCol w:w="8866"/>
      </w:tblGrid>
      <w:tr>
        <w:trPr/>
        <w:tc>
          <w:tcPr>
            <w:tcW w:w="271" w:type="dxa"/>
            <w:tcBorders/>
            <w:vAlign w:val="center"/>
          </w:tcPr>
          <w:p>
            <w:pPr>
              <w:pStyle w:val="TableContents"/>
              <w:bidi w:val="0"/>
              <w:spacing w:before="0" w:after="283"/>
              <w:jc w:val="left"/>
              <w:rPr/>
            </w:pPr>
            <w:r>
              <w:rPr/>
              <w:t>●</w:t>
            </w:r>
          </w:p>
        </w:tc>
        <w:tc>
          <w:tcPr>
            <w:tcW w:w="8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approvals for any of our product candidates that successfully complete clinical trials, if any;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sales, marketing, manufacturing and distribution infrastructure to commercialize any products for which we may obtain marketing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manufacture of larger quantities of our product candidates for clinical development and potentially commercialization;</w:t>
            </w:r>
          </w:p>
        </w:tc>
      </w:tr>
    </w:tbl>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83"/>
              <w:jc w:val="left"/>
              <w:rPr/>
            </w:pPr>
            <w:r>
              <w:rPr/>
              <w:t>●</w:t>
            </w:r>
          </w:p>
        </w:tc>
        <w:tc>
          <w:tcPr>
            <w:tcW w:w="6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protect and enforce our intellectual property portfolio;</w:t>
            </w:r>
          </w:p>
        </w:tc>
      </w:tr>
    </w:tbl>
    <w:tbl>
      <w:tblPr>
        <w:tblW w:w="4532" w:type="dxa"/>
        <w:jc w:val="left"/>
        <w:tblInd w:w="0" w:type="dxa"/>
        <w:tblLayout w:type="fixed"/>
        <w:tblCellMar>
          <w:top w:w="0" w:type="dxa"/>
          <w:left w:w="0" w:type="dxa"/>
          <w:bottom w:w="0" w:type="dxa"/>
          <w:right w:w="0" w:type="dxa"/>
        </w:tblCellMar>
      </w:tblPr>
      <w:tblGrid>
        <w:gridCol w:w="271"/>
        <w:gridCol w:w="4261"/>
      </w:tblGrid>
      <w:tr>
        <w:trPr/>
        <w:tc>
          <w:tcPr>
            <w:tcW w:w="271" w:type="dxa"/>
            <w:tcBorders/>
            <w:vAlign w:val="center"/>
          </w:tcPr>
          <w:p>
            <w:pPr>
              <w:pStyle w:val="TableContents"/>
              <w:bidi w:val="0"/>
              <w:spacing w:before="0" w:after="283"/>
              <w:jc w:val="left"/>
              <w:rPr/>
            </w:pPr>
            <w:r>
              <w:rPr/>
              <w:t>●</w:t>
            </w:r>
          </w:p>
        </w:tc>
        <w:tc>
          <w:tcPr>
            <w:tcW w:w="4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drugs and technologies;</w:t>
            </w:r>
          </w:p>
        </w:tc>
      </w:tr>
    </w:tbl>
    <w:tbl>
      <w:tblPr>
        <w:tblW w:w="9677" w:type="dxa"/>
        <w:jc w:val="left"/>
        <w:tblInd w:w="0" w:type="dxa"/>
        <w:tblLayout w:type="fixed"/>
        <w:tblCellMar>
          <w:top w:w="0" w:type="dxa"/>
          <w:left w:w="0" w:type="dxa"/>
          <w:bottom w:w="0" w:type="dxa"/>
          <w:right w:w="0" w:type="dxa"/>
        </w:tblCellMar>
      </w:tblPr>
      <w:tblGrid>
        <w:gridCol w:w="271"/>
        <w:gridCol w:w="9406"/>
      </w:tblGrid>
      <w:tr>
        <w:trPr/>
        <w:tc>
          <w:tcPr>
            <w:tcW w:w="271" w:type="dxa"/>
            <w:tcBorders/>
            <w:vAlign w:val="center"/>
          </w:tcPr>
          <w:p>
            <w:pPr>
              <w:pStyle w:val="TableContents"/>
              <w:bidi w:val="0"/>
              <w:spacing w:before="0" w:after="283"/>
              <w:jc w:val="left"/>
              <w:rPr/>
            </w:pPr>
            <w:r>
              <w:rPr/>
              <w:t>●</w:t>
            </w:r>
          </w:p>
        </w:tc>
        <w:tc>
          <w:tcPr>
            <w:tcW w:w="9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 against any claims of infringement, misappropriation or other violation of third-party intellectual property;</w:t>
            </w:r>
          </w:p>
        </w:tc>
      </w:tr>
    </w:tbl>
    <w:tbl>
      <w:tblPr>
        <w:tblW w:w="6482" w:type="dxa"/>
        <w:jc w:val="left"/>
        <w:tblInd w:w="0" w:type="dxa"/>
        <w:tblLayout w:type="fixed"/>
        <w:tblCellMar>
          <w:top w:w="0" w:type="dxa"/>
          <w:left w:w="0" w:type="dxa"/>
          <w:bottom w:w="0" w:type="dxa"/>
          <w:right w:w="0" w:type="dxa"/>
        </w:tblCellMar>
      </w:tblPr>
      <w:tblGrid>
        <w:gridCol w:w="271"/>
        <w:gridCol w:w="6211"/>
      </w:tblGrid>
      <w:tr>
        <w:trPr/>
        <w:tc>
          <w:tcPr>
            <w:tcW w:w="271" w:type="dxa"/>
            <w:tcBorders/>
            <w:vAlign w:val="center"/>
          </w:tcPr>
          <w:p>
            <w:pPr>
              <w:pStyle w:val="TableContents"/>
              <w:bidi w:val="0"/>
              <w:spacing w:before="0" w:after="283"/>
              <w:jc w:val="left"/>
              <w:rPr/>
            </w:pPr>
            <w:r>
              <w:rPr/>
              <w:t>●</w:t>
            </w:r>
          </w:p>
        </w:tc>
        <w:tc>
          <w:tcPr>
            <w:tcW w:w="6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retain additional clinical, quality control and scientific personnel;</w:t>
            </w:r>
          </w:p>
        </w:tc>
      </w:tr>
    </w:tbl>
    <w:tbl>
      <w:tblPr>
        <w:tblW w:w="8372" w:type="dxa"/>
        <w:jc w:val="left"/>
        <w:tblInd w:w="0" w:type="dxa"/>
        <w:tblLayout w:type="fixed"/>
        <w:tblCellMar>
          <w:top w:w="0" w:type="dxa"/>
          <w:left w:w="0" w:type="dxa"/>
          <w:bottom w:w="0" w:type="dxa"/>
          <w:right w:w="0" w:type="dxa"/>
        </w:tblCellMar>
      </w:tblPr>
      <w:tblGrid>
        <w:gridCol w:w="271"/>
        <w:gridCol w:w="8101"/>
      </w:tblGrid>
      <w:tr>
        <w:trPr/>
        <w:tc>
          <w:tcPr>
            <w:tcW w:w="271" w:type="dxa"/>
            <w:tcBorders/>
            <w:vAlign w:val="center"/>
          </w:tcPr>
          <w:p>
            <w:pPr>
              <w:pStyle w:val="TableContents"/>
              <w:bidi w:val="0"/>
              <w:spacing w:before="0" w:after="283"/>
              <w:jc w:val="left"/>
              <w:rPr/>
            </w:pPr>
            <w:r>
              <w:rPr/>
              <w:t>●</w:t>
            </w:r>
          </w:p>
        </w:tc>
        <w:tc>
          <w:tcPr>
            <w:tcW w:w="8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 out new facilities or expand existing facilities to support our ongoing development activity;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drug development and any future commercialization efforts; and</w:t>
            </w:r>
          </w:p>
        </w:tc>
      </w:tr>
    </w:tbl>
    <w:tbl>
      <w:tblPr>
        <w:tblW w:w="3752" w:type="dxa"/>
        <w:jc w:val="left"/>
        <w:tblInd w:w="0" w:type="dxa"/>
        <w:tblLayout w:type="fixed"/>
        <w:tblCellMar>
          <w:top w:w="0" w:type="dxa"/>
          <w:left w:w="0" w:type="dxa"/>
          <w:bottom w:w="0" w:type="dxa"/>
          <w:right w:w="0" w:type="dxa"/>
        </w:tblCellMar>
      </w:tblPr>
      <w:tblGrid>
        <w:gridCol w:w="271"/>
        <w:gridCol w:w="3481"/>
      </w:tblGrid>
      <w:tr>
        <w:trPr/>
        <w:tc>
          <w:tcPr>
            <w:tcW w:w="271" w:type="dxa"/>
            <w:tcBorders/>
            <w:vAlign w:val="center"/>
          </w:tcPr>
          <w:p>
            <w:pPr>
              <w:pStyle w:val="TableContents"/>
              <w:bidi w:val="0"/>
              <w:spacing w:before="0" w:after="283"/>
              <w:jc w:val="left"/>
              <w:rPr/>
            </w:pPr>
            <w:r>
              <w:rPr/>
              <w:t>●</w:t>
            </w:r>
          </w:p>
        </w:tc>
        <w:tc>
          <w:tcPr>
            <w:tcW w:w="3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our planned clinical trials, drug discovery and preclinical research for our product candidates;</w:t>
            </w:r>
          </w:p>
        </w:tc>
      </w:tr>
    </w:tbl>
    <w:tbl>
      <w:tblPr>
        <w:tblW w:w="7907" w:type="dxa"/>
        <w:jc w:val="left"/>
        <w:tblInd w:w="0" w:type="dxa"/>
        <w:tblLayout w:type="fixed"/>
        <w:tblCellMar>
          <w:top w:w="0" w:type="dxa"/>
          <w:left w:w="0" w:type="dxa"/>
          <w:bottom w:w="0" w:type="dxa"/>
          <w:right w:w="0" w:type="dxa"/>
        </w:tblCellMar>
      </w:tblPr>
      <w:tblGrid>
        <w:gridCol w:w="271"/>
        <w:gridCol w:w="7636"/>
      </w:tblGrid>
      <w:tr>
        <w:trPr/>
        <w:tc>
          <w:tcPr>
            <w:tcW w:w="271" w:type="dxa"/>
            <w:tcBorders/>
            <w:vAlign w:val="center"/>
          </w:tcPr>
          <w:p>
            <w:pPr>
              <w:pStyle w:val="TableContents"/>
              <w:bidi w:val="0"/>
              <w:spacing w:before="0" w:after="283"/>
              <w:jc w:val="left"/>
              <w:rPr/>
            </w:pPr>
            <w:r>
              <w:rPr/>
              <w:t>●</w:t>
            </w:r>
          </w:p>
        </w:tc>
        <w:tc>
          <w:tcPr>
            <w:tcW w:w="7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pursue and their development requirements;</w:t>
            </w:r>
          </w:p>
        </w:tc>
      </w:tr>
    </w:tbl>
    <w:tbl>
      <w:tblPr>
        <w:tblW w:w="6707" w:type="dxa"/>
        <w:jc w:val="left"/>
        <w:tblInd w:w="0" w:type="dxa"/>
        <w:tblLayout w:type="fixed"/>
        <w:tblCellMar>
          <w:top w:w="0" w:type="dxa"/>
          <w:left w:w="0" w:type="dxa"/>
          <w:bottom w:w="0" w:type="dxa"/>
          <w:right w:w="0" w:type="dxa"/>
        </w:tblCellMar>
      </w:tblPr>
      <w:tblGrid>
        <w:gridCol w:w="271"/>
        <w:gridCol w:w="6436"/>
      </w:tblGrid>
      <w:tr>
        <w:trPr/>
        <w:tc>
          <w:tcPr>
            <w:tcW w:w="271" w:type="dxa"/>
            <w:tcBorders/>
            <w:vAlign w:val="center"/>
          </w:tcPr>
          <w:p>
            <w:pPr>
              <w:pStyle w:val="TableContents"/>
              <w:bidi w:val="0"/>
              <w:spacing w:before="0" w:after="283"/>
              <w:jc w:val="left"/>
              <w:rPr/>
            </w:pPr>
            <w:r>
              <w:rPr/>
              <w:t>●</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businesses, products and technologies, including entering into or maintaining licensing or collaboration arrangements for product candidates on favorable terms, and although we may explore such opportunities from time to time during the normal course of business, we currently have no commitments or agreements to complete any such transactions;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if any, received from commercial sales of our product candidates, should any of our product candidates receive marketing approval;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protecting and enforcing our intellectual property rights and defending intellectual property-related claims;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business operations and our research and development activities; and</w:t>
            </w:r>
          </w:p>
        </w:tc>
      </w:tr>
    </w:tbl>
    <w:tbl>
      <w:tblPr>
        <w:tblW w:w="3917" w:type="dxa"/>
        <w:jc w:val="left"/>
        <w:tblInd w:w="0" w:type="dxa"/>
        <w:tblLayout w:type="fixed"/>
        <w:tblCellMar>
          <w:top w:w="0" w:type="dxa"/>
          <w:left w:w="0" w:type="dxa"/>
          <w:bottom w:w="0" w:type="dxa"/>
          <w:right w:w="0" w:type="dxa"/>
        </w:tblCellMar>
      </w:tblPr>
      <w:tblGrid>
        <w:gridCol w:w="271"/>
        <w:gridCol w:w="3646"/>
      </w:tblGrid>
      <w:tr>
        <w:trPr/>
        <w:tc>
          <w:tcPr>
            <w:tcW w:w="271" w:type="dxa"/>
            <w:tcBorders/>
            <w:vAlign w:val="center"/>
          </w:tcPr>
          <w:p>
            <w:pPr>
              <w:pStyle w:val="TableContents"/>
              <w:bidi w:val="0"/>
              <w:spacing w:before="0" w:after="283"/>
              <w:jc w:val="left"/>
              <w:rPr/>
            </w:pPr>
            <w:r>
              <w:rPr/>
              <w:t>●</w:t>
            </w:r>
          </w:p>
        </w:tc>
        <w:tc>
          <w:tcPr>
            <w:tcW w:w="3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and grants from government and other (non-government) organizations.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 In addition, our ability to engage in certain types of capital raising transactions will be limited by the Listing Rules of the Nasdaq Stock Market and/or General Instruction I.B.6 of Form S-3 if the market value of our common stock held by non-affiliates is below $75 million at a time we seek to utilize our effective registration statement on Form S-3.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Developing drug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Adequate additional funds may not be available to us on acceptable terms, or at all. We do not currently have any committed external source of funds. To the extent that we raise additional capital through the sale of equity or convertible debt securities, ownership interests in our securities may be diluted, and the terms of these securities may include liquidation or other preferences and anti-dilution protections that could adversely affect the rights of our common stockholders.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existing ownership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additional details regarding our contractual obligations, see Note 3 “Leases” to our condensed consolidated financial statements appearing elsewhere in this Quarterly Report on Form 10-Q.</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and, as a result, are not included in the table of contractual obligations above. Payments due upon cancelation consist only of payments for services provided and expenses incurred up to the date of cancelation.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See Note 2 to our consolidated financial statements included elsewhere in this Quarterly Report on Form 10-Q for information about recent accounting pronouncements, the timing of adoption, and our assessment, if any, of their potential impact on our financial condition and results of operations.</w:t>
      </w:r>
    </w:p>
    <w:p>
      <w:pPr>
        <w:pStyle w:val="TextBody"/>
        <w:bidi w:val="0"/>
        <w:spacing w:before="0" w:after="120"/>
        <w:ind w:left="0" w:right="0" w:hanging="0"/>
        <w:jc w:val="left"/>
        <w:rPr>
          <w:rFonts w:ascii="Times New Roman;Times;serif" w:hAnsi="Times New Roman;Times;serif"/>
          <w:b/>
          <w:sz w:val="20"/>
        </w:rPr>
      </w:pPr>
      <w:bookmarkStart w:id="844" w:name="Item3Quantitativeandqualitativedisclosur"/>
      <w:bookmarkStart w:id="845" w:name="_351176cc_e5ba_44d4_979d_fbc22369613f"/>
      <w:bookmarkEnd w:id="844"/>
      <w:bookmarkEnd w:id="845"/>
      <w:r>
        <w:rPr>
          <w:rFonts w:ascii="Times New Roman;Times;serif" w:hAnsi="Times New Roman;Times;serif"/>
          <w:b/>
          <w:sz w:val="20"/>
        </w:rPr>
        <w:t>Item 3. Quantitative and Qualitative Disclosures About Market Risk</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are exposed to market risk related changes in interest rates. As of June 30, 2026, our cash equivalents consisted of bank deposits and money market accounts. Our primary exposure to market risk is interest income sensitivity, which is affected by changes in the general level of U.S. interest rates. However, historical fluctuations in interest income have not been significant for us.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Foreign Currency Exchange Rate Risk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face market risk to the extent that changes in foreign currency exchange rates affect our non-U.S. dollar functional currency foreign subsidiaries’ revenues, expenses, assets and liabilities. The financial position and results of operations of our subsidiary Aprea AB is measured using the foreign subsidiary’s local currency as the functional currency. Aprea AB cash accounts holding U.S. dollars are remeasured based upon the exchange rate at the date of remeasurement with the resulting gain or loss included in the consolidated statement of operations and comprehensive loss.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investments in foreign subsidiaries with a functional currency other than the U.S. dollar are generally considered long-term. In addition, we do not believe that we currently have any significant direct foreign exchange risk. Accordingly, we have not used any derivative financial instruments to hedge exposure to such risk.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sz w:val="20"/>
        </w:rPr>
        <w:t>Inflation</w:t>
      </w:r>
      <w:r>
        <w:rPr>
          <w:rFonts w:ascii="Times New Roman;Times;serif" w:hAnsi="Times New Roman;Times;serif"/>
          <w:sz w:val="20"/>
        </w:rPr>
        <w:t> </w:t>
      </w:r>
      <w:r>
        <w:rPr>
          <w:rFonts w:ascii="Times New Roman;Times;serif" w:hAnsi="Times New Roman;Times;serif"/>
          <w:b/>
          <w:i/>
          <w:sz w:val="20"/>
        </w:rPr>
        <w:t>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Inflation generally affects us by increasing our cost of labor and pricing of contracts. We do not believe that inflation has had a material effect on our business, financial condition, or results of operations during the six months ended June 30, 2026.</w:t>
      </w:r>
    </w:p>
    <w:p>
      <w:pPr>
        <w:pStyle w:val="TextBody"/>
        <w:bidi w:val="0"/>
        <w:spacing w:before="0" w:after="120"/>
        <w:ind w:left="0" w:right="0" w:hanging="0"/>
        <w:jc w:val="left"/>
        <w:rPr>
          <w:rFonts w:ascii="Times New Roman;Times;serif" w:hAnsi="Times New Roman;Times;serif"/>
          <w:b/>
          <w:sz w:val="20"/>
        </w:rPr>
      </w:pPr>
      <w:bookmarkStart w:id="846" w:name="Item4ControlsandProcedures_266"/>
      <w:bookmarkStart w:id="847" w:name="_8a8b71ef_36fe_4810_bfb2_731fff297ccf"/>
      <w:bookmarkEnd w:id="846"/>
      <w:bookmarkEnd w:id="847"/>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level.</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has been no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48" w:name="PARTIIOTHERINFORMATION_907842"/>
      <w:bookmarkStart w:id="849" w:name="_7739fda1_c1b8_464c_9d2c_8e9ff6cb94e0"/>
      <w:bookmarkEnd w:id="848"/>
      <w:bookmarkEnd w:id="849"/>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850" w:name="Item1LegalProceedings_809320"/>
      <w:bookmarkEnd w:id="850"/>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not currently subject to any material legal proceedings.</w:t>
      </w:r>
    </w:p>
    <w:p>
      <w:pPr>
        <w:pStyle w:val="TextBody"/>
        <w:bidi w:val="0"/>
        <w:spacing w:before="0" w:after="0"/>
        <w:ind w:left="0" w:right="0" w:hanging="0"/>
        <w:jc w:val="left"/>
        <w:rPr>
          <w:rFonts w:ascii="Times New Roman;Times;serif" w:hAnsi="Times New Roman;Times;serif"/>
          <w:b/>
          <w:sz w:val="20"/>
        </w:rPr>
      </w:pPr>
      <w:bookmarkStart w:id="851" w:name="Item1ARiskFactors"/>
      <w:bookmarkStart w:id="852" w:name="_7f0f19e3_6a3d_4300_98a6_b59628886f2b"/>
      <w:bookmarkEnd w:id="851"/>
      <w:bookmarkEnd w:id="852"/>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business is subject to substantial risks and uncertainties. Investing in our common stock involves a high degree of risk. You should carefully consider the risk factors below, together with the information contained elsewhere in this Quarterly Report on Form 10-Q, including Part I, Item 1 “Financial Statements” and Part I, Item 2. “Management’s Discussion and Analysis of Financial Condition and Results of Operations,” and in our other public filings in evaluating our business, including our Annual Report on Form 10-K for the year ended December 31, 2025, which was filed with the SEC on March 16, 2026. Any of the risks and uncertainties described below and in our other filings with the SEC, either alone or taken together, could materially and adversely affect our business, financial condition, results of operations, prospects for growth, and the value of an investment in our common stock. In addition, these risks and uncertainties could cause actual results to differ materially from those expressed or implied by forward looking statements contained in this Form 10-Q (please read the Cautionary Note Regarding Forward-Looking Statements in this Form 10-Q).</w:t>
      </w:r>
    </w:p>
    <w:p>
      <w:pPr>
        <w:pStyle w:val="TextBody"/>
        <w:bidi w:val="0"/>
        <w:spacing w:before="0" w:after="2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We have marked with an asterisk (*) those risk factors below that reflect a substantive change from the risk factors included in our Annual Report on Form 10-K filed with the SEC on March 16, 2026.</w:t>
      </w:r>
    </w:p>
    <w:p>
      <w:pPr>
        <w:pStyle w:val="TextBody"/>
        <w:bidi w:val="0"/>
        <w:spacing w:before="0" w:after="240"/>
        <w:ind w:left="0" w:right="0" w:hanging="0"/>
        <w:jc w:val="left"/>
        <w:rPr>
          <w:rFonts w:ascii="Times New Roman;font-weight:bold" w:hAnsi="Times New Roman;font-weight:bold"/>
          <w:b/>
          <w:sz w:val="20"/>
        </w:rPr>
      </w:pPr>
      <w:r>
        <w:rPr>
          <w:rFonts w:ascii="Times New Roman;font-weight:bold" w:hAnsi="Times New Roman;font-weight:bold"/>
          <w:b/>
          <w:sz w:val="20"/>
        </w:rPr>
        <w:t>Risk Factor Summary</w:t>
      </w:r>
    </w:p>
    <w:p>
      <w:pPr>
        <w:pStyle w:val="TextBody"/>
        <w:bidi w:val="0"/>
        <w:spacing w:before="0" w:after="240"/>
        <w:ind w:left="0" w:right="0" w:hanging="0"/>
        <w:jc w:val="left"/>
        <w:rPr>
          <w:rFonts w:ascii="Times New Roman" w:hAnsi="Times New Roman"/>
          <w:sz w:val="20"/>
        </w:rPr>
      </w:pPr>
      <w:r>
        <w:rPr>
          <w:rFonts w:ascii="Times New Roman" w:hAnsi="Times New Roman"/>
          <w:sz w:val="20"/>
        </w:rPr>
        <w:t>An investment in our securities is subject to various risks, these risks include, among others, the brief bulleted list of our principal risk factors set forth below that make an investment in our company speculative or risky.</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the need for additional capital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in each year since inception. We expect to incur losses for the foreseeable future and may never achieve or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compliance with the minimum listing requirements, our common stock will be subject to delisting and our ability to publicly or privately sell equity securities and the liquidity of our common stock could be adversely affected if our common stock is delisted.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may make it difficult for you to evaluate the success of our business to date and to assess our future viability. We have never generated commercial revenues and may never be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substantial additional funding, which may not be available to us on acceptable terms or at all. If we are unable to raise capital when needed, we may be forced to delay, reduce and/or eliminate our research and drug development programs or future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the discovery, development and commercialization of our product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success of APR-1051. Our clinical trial of APR-1051 may not be successful. If we are unable to obtain approval for and commercialize APR-1051 or experience significant delays in doing so, our business will be materially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early stages of testing APR-1051. The results of preclinical studies and early-stage clinical trials may not be predictive of future results in later studies or trials. Initial success in clinical trials may not be indicative of results obtained when these trials are completed or in later-stage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file INDs or IND amendments to commence additional clinical trials on the timelines we expect, and even if we are able to, the FDA may not permit us to proceed.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as a company conducting clinical trials and may be unable to complete clinical trials for any product candidates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it difficult to enroll patients in our clinical trials. If we experience delays or difficulties in the enrollment of patients in clinical trials, our receipt of necessary marketing approvals could be delayed or prevented.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serious adverse or unacceptable side effects are identified during the development of our product candidates or we observe limited efficacy of our product candidates, we may need to abandon or limit the development of one or more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expend our limited resources to pursue a particular product candidate or indication and fail to capitalize on product candidates or indications that may be more profitable or for which there is a greater likelihood of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the future, we are unable to establish sales and marketing capabilities or enter into agreements with third parties to sell and market our product candidates, we may not be successful in commercializing our product candidates if and when they are approved.</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clinical trials and some aspects of our research and preclinical studies, and those third parties may not perform satisfactorily, including failing to conduct their operations in compliance with regulatory requirements or to meet deadlines for the completion of such trials, research and studies.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and maintain intellectual property protection for our product candidates or for our technology, our competitors could develop and commercialize products or technology similar or identical to ours, and our ability to successfully commercialize any product candidates we may develop, and our technology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covering our product candidates and other technologies could be narrowed or found invalid or unenforceable if challenged in court or before administrative bodies in the United States or abroad.</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other claims challenging the inventorship of our patents and other intellectual property.</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regulatory and marketing approval and other legal compliance matters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obtained marketing approval for a product candidate and we may be unable to obtain, or may be delayed in obtaining, marketing approval for any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complete the necessary preclinical studies and clinical trials, the marketing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and other comparable regulatory authorities’ policies may change and additional government regulations may be enacted that could prevent, limit or delay regulatory approval of our product candidates, which would impact our ability to generate commercial revenue.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enacted and future legislation, and any change in existing government regulations and policies, may increase the difficulty and cost for us and our future collaborators to obtain marketing approval of and commercialize our product candidates and affect the prices we, or they, may obtain.</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principal stockholders may have substantial influence over matters submitted to stockholders for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officers and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meet the Nasdaq Stock Market, or Nasdaq, continued listing requirements and other Nasdaq rules, and if we fail to meet such rules and requirements, we may be subject to delisting. </w:t>
            </w:r>
          </w:p>
        </w:tc>
      </w:tr>
    </w:tbl>
    <w:p>
      <w:pPr>
        <w:pStyle w:val="TextBody"/>
        <w:bidi w:val="0"/>
        <w:spacing w:before="0" w:after="0"/>
        <w:ind w:left="0" w:right="0" w:hanging="0"/>
        <w:jc w:val="left"/>
        <w:rPr>
          <w:rFonts w:ascii="Times New Roman;Times;serif" w:hAnsi="Times New Roman;Times;serif"/>
          <w:sz w:val="20"/>
        </w:rPr>
      </w:pPr>
      <w:r>
        <w:rPr>
          <w:rFonts w:ascii="Times New Roman" w:hAnsi="Times New Roman"/>
          <w:sz w:val="20"/>
        </w:rPr>
        <w:t>The summary risk factors described above should be read together with the text of the full risk factors below in this section entitled “</w:t>
      </w:r>
      <w:r>
        <w:rPr>
          <w:rFonts w:ascii="Times New Roman;font-style:italic" w:hAnsi="Times New Roman;font-style:italic"/>
          <w:i/>
          <w:sz w:val="20"/>
        </w:rPr>
        <w:t>Risk Factors</w:t>
      </w:r>
      <w:r>
        <w:rPr>
          <w:rFonts w:ascii="Times New Roman;Times;serif" w:hAnsi="Times New Roman;Times;serif"/>
          <w:sz w:val="20"/>
        </w:rPr>
        <w:t xml:space="preserve">” </w:t>
      </w:r>
      <w:r>
        <w:rPr>
          <w:rFonts w:ascii="Times New Roman" w:hAnsi="Times New Roman"/>
          <w:sz w:val="20"/>
        </w:rPr>
        <w:t>and the other information set forth in this Quarterly Report on Form 10-Q.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0"/>
        <w:ind w:left="0" w:right="0" w:hanging="0"/>
        <w:jc w:val="left"/>
        <w:rPr>
          <w:rFonts w:ascii="Times New Roman;Times;serif" w:hAnsi="Times New Roman;Times;serif"/>
          <w:b/>
          <w:i/>
          <w:sz w:val="20"/>
        </w:rPr>
      </w:pPr>
      <w:bookmarkStart w:id="853" w:name="_Hlk110770684"/>
      <w:bookmarkStart w:id="854" w:name="_Hlk111125083"/>
      <w:bookmarkEnd w:id="853"/>
      <w:bookmarkEnd w:id="854"/>
      <w:r>
        <w:rPr>
          <w:rFonts w:ascii="Times New Roman;Times;serif" w:hAnsi="Times New Roman;Times;serif"/>
          <w:b/>
          <w:i/>
          <w:sz w:val="20"/>
        </w:rPr>
        <w:t>We have incurred significant losses in each year since inception. We expect to incur losses for the foreseeable future and may never achieve or maintain profitability.*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 our inception, we have incurred significant losses on an aggregate basis. Our net loss was $6.9 million for the six months ended June 30, 2026, and $12.6 million and $13.0 million for the years ended December 31, 2025 and 2024, respectively. Our accumulated deficit was $340.5 million and $333.6 million as of June 30, 2026 and December 31, 2025, respectively. We have not generated any commercial revenue to date from sales of any drugs and have financed our operations principally through private placements and the net proceeds received from the initial public offering (IPO) of our common stock. We have devoted substantially all of our efforts to research and development. We expect that it will be several years, if ever, before we have any product candidates ready for commercialization. We expect to continue to incur significant expenses and increasing operating losses for the foreseeable future. The net losses we incur may fluctuate significantly from quarter to quarter.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855" w:name="_Hlk111125210"/>
      <w:bookmarkEnd w:id="855"/>
      <w:r>
        <w:rPr>
          <w:rFonts w:ascii="Times New Roman;Times;serif" w:hAnsi="Times New Roman;Times;serif"/>
          <w:sz w:val="20"/>
        </w:rPr>
        <w:t>To become and remain profitable, we must develop, obtain approval for and eventually commercialize a drug or drugs with significant market potential, either on our own or with a collaborator. This will require us to be successful in a range of challenging activities, including completing preclinical studies and clinical trials of our product candidates, obtaining marketing approval for these product candidates, manufacturing, marketing and selling those drugs for which we may obtain marketing approval and establishing and managing any collaborations for the development, marketing and/or commercialization of our product candidates.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and/or continue our operations. A decline in the value of our company could also cause our stockholders to lose all or part of their investment.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Even if we succeed in commercializing one or more of our product candidates, we will continue to incur substantial research and development and other expenditures to develop and market additional product candidates. We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 xml:space="preserve">Our product candidates, if approved, may not achieve commercial success. Our commercial revenues, if any, will be derived from sales of drugs that we do not expect to be commercially available for many years, if at all. If we are unable to obtain product approvals or generate significant commercial revenues, our business will be materially harmed.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limited operating history may make it difficult for you to evaluate the success of our business to date and to assess our future viability. We have never generated commercial revenues and may never be profitable.*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an early-stage company. Our operations to date have been limited to organizing and staffing our company, business planning, raising capital, developing our product candidates, identifying potential product candidates, conducting preclinical studies of our product candidates and conducting clinical trials of our product candidates. APR-1051 and ATRN-119 are in clinical development and our other product candidates are in preclinical development. We have not yet demonstrated our ability to successfully complete large-scale, pivotal clinical trials, obtain marketing approvals, manufacture commercial-scale drug products, or arrange for a third party to do so on our behalf, or conduct sales and marketing activities necessary for successful drug commercialization. Typically, it takes about six to ten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w:t>
      </w:r>
      <w:r>
        <w:rPr>
          <w:rFonts w:ascii="Times New Roman" w:hAnsi="Times New Roman"/>
          <w:sz w:val="20"/>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as a business with a limited operating history, we may encounter unforeseen expenses, difficulties, complications, delays and other known and unknown factors. We may need to transition from a company with a research focus to a company capable of supporting commercial activities. We may not be successful in such a transition.</w:t>
      </w:r>
    </w:p>
    <w:p>
      <w:pPr>
        <w:pStyle w:val="TextBody"/>
        <w:bidi w:val="0"/>
        <w:spacing w:before="0" w:after="240"/>
        <w:ind w:left="0" w:right="0" w:hanging="0"/>
        <w:jc w:val="left"/>
        <w:rPr>
          <w:rFonts w:ascii="Times New Roman" w:hAnsi="Times New Roman"/>
          <w:sz w:val="20"/>
        </w:rPr>
      </w:pPr>
      <w:r>
        <w:rPr>
          <w:rFonts w:ascii="Times New Roman" w:hAnsi="Times New Roman"/>
          <w:sz w:val="20"/>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need substantial additional funding, which may not be available to us on acceptable terms or at all. If we are unable to raise capital when needed, we may be forced to delay, reduce and/or eliminate our research and drug development programs or future commercialization efforts.*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Developing drug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product candidates. In addition, if we obtain marketing approval for any of our product candidates, we expect to incur significant commercialization expenses related to drug sales, marketing, manufacturing and distribution to the extent that such sales, marketing, manufacturing and distribution are not the responsibility of any collaborator that we may have at such time for any such product candidate. Furthermore, since the completion of our IPO, we have incurred and expect to incur additional costs associated with operating as a public company. Accordingly, we will need to obtain substantial additional funding in connection with our continuing operations. The recent uncertainty and volatility in financial markets which in turn may make raising additional funds even more difficult or impossible for us. If we are unable to raise capital when needed or on attractive terms, we may be forced to delay, reduce and/or eliminate our research and drug development programs or future commercialization efforts.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Based on our current operating plan, we believe that our existing cash and cash equivalents as of June 30, 2026 will be sufficient to meet our currently projected operating expenses and capital expenditure requirements into the first quarter of 2028. Our estimate as to how long we expect our existing cash and cash equivalents to be able to continue to fund our operations is based on assumptions that may prove to be wrong, and we could use our available capital resources sooner than we currently expect. Further, changing circumstances, some of which may be beyond our control, could cause us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 capital significantly faster than we currently anticipate, and we may need to seek additional funds sooner than planned. Our future capital requirements will depend on many factors, including: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our current and future clinical trials of APR-1051 and our other product candidates for our current targeted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research and clinical trials for APR-1051 and our other product candidates;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and results of exploring ATRN-119 in potential combination approaches;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pursue and their development requirements;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businesses, products and technologies, including entering into or maintaining licensing or collaboration arrangements for product candidates on favorable terms, although we currently have no commitments or agreements to complete any such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if any, received from commercial sales of our product candidates, should any of our product candidates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defending and enforcing our intellectual property rights and defending intellectual property-related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business operations and our research and development activities;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and restrict our operations or require us to relinquish rights to our product candidates.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We expect our expenses to increase in connection with our planned operations. Until such time, if ever, as we can generate substantial revenues from the sale of drugs, we expect to finance our cash needs through a combination of equity offerings, debt financings, collaborations, strategic alliances and/or licensing arrangements. To the extent that we raise additional capital through the sale of equity or convertible debt securities, ownership interests in our securities may be diluted, and the terms of these securities could include liquidation or other preferences and anti-dilution protections that could adversely affect the rights of our common stockholders.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If we raise additional funds through collaborations, strategic alliances or licensing arrangements with third parties, we may have to relinquish valuable rights to our technology, future revenue streams or product candidates or grant licenses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on terms that may not be favorable to us. If we are unable to raise additional funds when needed, we may be required to delay, reduce and/or eliminate our product candidate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currently operating in a period of global economic uncertainty and capital markets disruption, which has been significantly impacted by geopolitical conflicts, natural and man-made disasters, global health emergencies and uncertainties in regulatory developments and legislative actions, which could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results of operations could be adversely affected by general conditions in the global economy, uncertainty from political conditions and changing regulations, and disruption of global financial markets that may result in a recession or market correction. The financial markets and the global economy may be adversely affected by the current or anticipated impact of war, terrorism and geopolitical conflicts, including in Russia and Ukraine, the Middle East and other areas. Sanctions and enhanced export controls imposed by the United States and other countries in response to such conflicts may also adversely impact the financial markets and the global economy, and any economic countermeasures by the affected countries or others could exacerbate market and economic instability.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Changes in regulations and policies by the U.S. administration and the resulting political and economic uncertainty in the United States may also impact us, the financial markets and the global economy. In 2025, significant changes in U.S. trade policy, including the imposition of broad based tariffs on imports from multiple countries, created uncertainty in global supply chains that could affect our ability to source clinical trial materials and could increase our operating costs. The tariff increases have significantly disrupted the global markets and may significantly escalate tensions between the U.S. and other countries, especially China. We currently procure APIs and other raw materials from a supplier in China, and we are in the process of diversifying our API procurement to include additional suppliers in the United States. The extent of the impact that such tariffs, trade policies, or new legislation or regulations will have on our business specifically, or on the U.S. market and global economy generally, are uncertain and in the long term, unpredictable, and could adversely affect our business, financial condition, and results of operations. The continued impact of these tariffs may impair our plans for further drug development in the U.S. market as well as our ability to generate revenues.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current U.S. administration has recently issued regulations to restrict direct and indirect investment by U.S. persons into companies with specified connections to China that use specific technologies of concern. Such changes in the regulations and policies by the current U.S. administration and the resulting political and economic uncertainty materially impact our operations and those of our third-party service providers and reduce our ability to access capital, which could negatively affect our liquidity and adversely affect our business and the value of our common stock. The current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in April 2025, an executive order to lower prescription drug prices was signed. The details of such proposed regulations and policies are unclear, and the final terms and impact remain uncertain and may pose long-term risks to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natural and man-made disasters and global health emergencies, including pandemics and epidemics, may adversely affect the financial markets and global economy, increase inflation and result in significant business disruptions. We and our third-party services providers could be subject to the impact of natural or man-made disasters and other business disruptions, which include, but are not limited to, hurricanes, flooding, typhoons, tornados, wildfires and fires, drought, extreme heat, earthquakes, water shortages, blizzards and other extreme weather conditions, resulting in significant damage to our facilities, inventory or equipment, which could disrupt, delay or curtail our operations. Such business disruptions may also heighten the risk of power outages, telecommunications, transportation or other infrastructure failure, cybersecurity incidents or physical security breaches. The cost of insurance has increased significantly, including as a result of the impact of climate change and inflation, and we may not be able to obtain sufficient coverage at a reasonable cost to protect us against losses from such disasters and unforeseen events.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volatile business environment or continued unpredictable and unstable market conditions may result in further deterioration of the equity and credit markets, significant volatility in commodity prices, as well as supply chain interruptions and result in an economic downturn, which would make any equity or debt financing more difficult, costly and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Although our business has not been materially impacted by the tariffs adopted to date or adverse effects of geopolitical events, natural or man-made disasters or other business disruptions to date, such matters may affect our business in the future and it is impossible to predict the extent to which our operations, or those of our suppliers and manufacturers, will be impacted in the short and long term, or the ways in which such matters may impact our business. The extent and duration of such adverse geopolitical events, natural or man-made disasters or other business disruptions and actual or perceived political or economic instability and resulting market disruptions are impossible to predict but could be substantial. Any such disruptions may also magnify the impact of other risks described herein.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856" w:name="_Hlk129787972"/>
      <w:bookmarkEnd w:id="856"/>
      <w:r>
        <w:rPr>
          <w:rFonts w:ascii="Times New Roman;Times;serif" w:hAnsi="Times New Roman;Times;serif"/>
          <w:b/>
          <w:i/>
          <w:sz w:val="20"/>
        </w:rPr>
        <w:t>Disruptions at the FDA, the SEC and other government agencies caused by funding shortages, government shutdowns or global health emergencies, their inability to hire, retain or deploy key leadership and other personnel, a high turnover of key leadership positions, or significant changes in policies and processes based on political considerations could prevent products from being developed, approved or commercialized in a timely manner or at all or otherwise prevent those agencies from performing normal business functions on which the operation of our business may rely, which could negatively impact our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ability of the FDA and other government agencies to review and approve products can be affected by a variety of factors, including government budget and funding levels, statutory, regulatory and policy changes, a government agency’s ability to hire and retain key personnel and accept the payment of user fees, high turnover in key leadership positions, and other events that may otherwise affect the government agency’s ability to perform routine functions. Average review times at the FDA and other government agencies have fluctuated in recent years as a result. For example, over the last several years, the U.S. government has shut down several times and certain regulatory agencies, such as the FDA and SEC, have had to furlough critical employees and stop critical activities. In addition, government funding of agencies on which our operations may rely, including those that fund research and development activities, is subject to the political process, which is inherently fluid and unpredictable. Such disruptions at the FDA and other agencies may also increase the time necessary for new therapies or modifications to approved therapies to be reviewed and/or approved by necessary government agencies, which would adversely affect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political and economic environment in the United States could materially impact our business operations and financial performance, and uncertainty surrounding the potential legal, regulatory and policy changes by the U.S. administration may directly affect us and the global economy.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political and economic environment in the United States and elsewhere has resulted in and will continue to result in some uncertainty. Changing regulatory policies because of the changing political environment could impact our regulatory and compliance costs and future revenues, all of which could materially and adversely affect our business, financial condition and operating results. For example, significant layoffs or turnover at FDA could affect the FDA’s ability to respond to regulatory filings. High turnover of key FDA leadership positions could result in regulatory inconsistency and unpredictability that may undermine product development and approval. Failure to adapt to or comply with evolving regulatory requirements or investor or stakeholder expectations and standards could negatively impact our reputation, ability to do business with certain partners, access to capital and our stock price.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Further, the current U.S. administration and congressional seat turnover may result in increased regulatory and economic uncertainty. Changes in federal policy by the executive branch and regulatory agencies may occur over time through the new presidential administration’s and/or Congress’s policy and personnel changes, which could lead to changes involving the level of oversight and focus on the pharmaceutical industry; however, the nature, timing and economic and political effects of such potential changes remain highly uncertain. Any future changes in federal and state laws and regulations, as well as the interpretation and implementation of such laws and regulations, could affect us in substantial and unpredictable ways. At this time, it is unclear what laws, regulations and policies may change and whether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or uncertainty surrounding future changes will adversely affect our operating environment and therefore our business, financial condition and 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related or similar factors not described above, could have material adverse impacts on our liquidity and our current and/or projected business operations and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have material adverse impacts on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the discovery, development and commercialization of our product candidates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substantially dependent on the success of APR-1051. Our clinical trials of APR-1051 may not be successful. If we are unable to obtain approval for and commercialize APR-1051 or experience significant delays in doing so, our business will be materially harmed.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no products approved for sale. Our future success is substantially dependent on our ability to timely obtain marketing approval for, and then successfully commercialize, APR-1051. We are investing a majority of our efforts and financial resources in the research and development of APR-1051. Our business depends entirely on the successful development and commercialization of our product candidates. We currently have no drugs approved for sale and generate no revenues from sales of any products, and we may never be able to develop a marketable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commercially or promote any of our product candidates in the U.S. before we receive marketing approval from the FDA, and in other jurisdictions subject to marketing authorization from comparable foreign regulatory authorities, and we may never receive such marketing approvals</w:t>
      </w:r>
      <w:r>
        <w:rPr>
          <w:rFonts w:ascii="Times New Roman" w:hAnsi="Times New Roman"/>
          <w:sz w:val="20"/>
        </w:rPr>
        <w:t xml:space="preserve">. </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success of APR-1051 will depend on several factors, including the following:</w:t>
      </w:r>
    </w:p>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successful patient enrollment and timely completion of clinical trials of APR-1051;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successful initiation and successful patient enrollment and completion of additional clinical trials, for APR-1051 or our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ability to demonstrate APR-1051’s safety and efficacy to the FDA or any comparable foreign regulatory authority for marketing approval</w:t>
            </w:r>
            <w:r>
              <w:rPr>
                <w:rFonts w:ascii="Times New Roman;font-size:10pt;font-style:normal;font-weight:normal" w:hAnsi="Times New Roman;font-size:10pt;font-style:normal;font-weight:normal"/>
              </w:rPr>
              <w:t>;</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timely receipt of marketing approvals for APR-1051;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obtaining and maintaining patent protection, trade secret protection and regulatory exclusivity, both in the United States and internationally;</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successfully defending and enforcing our rights in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avoiding and successfully defending against any claims that we have infringed, misappropriated or otherwise violated any intellectual property of any third party;</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performance of our future collaborators,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font-size:10pt;font-style:normal;font-weight:normal" w:hAnsi="Times New Roman;font-size:10pt;font-style:normal;font-weight:normal"/>
              </w:rPr>
              <w:t xml:space="preserve">the extent of, and our ability to timely complete, any post-marketing approval commitments </w:t>
            </w:r>
            <w:r>
              <w:rPr>
                <w:rFonts w:ascii="Times New Roman;Times;serif" w:hAnsi="Times New Roman;Times;serif"/>
                <w:b w:val="false"/>
                <w:i w:val="false"/>
                <w:caps w:val="false"/>
                <w:smallCaps w:val="false"/>
                <w:sz w:val="20"/>
              </w:rPr>
              <w:t xml:space="preserve">or requirements </w:t>
            </w:r>
            <w:r>
              <w:rPr>
                <w:rFonts w:ascii="Times New Roman;font-size:10pt;font-style:normal;font-weight:normal" w:hAnsi="Times New Roman;font-size:10pt;font-style:normal;font-weight:normal"/>
              </w:rPr>
              <w:t>imposed by FDA or other applicable regulatory authorities;</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successfully developing a companion diagnostic test on a timely and cost-effective basis;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establishment of supply arrangements with third-party raw materials and drug product suppliers and manufacturers who are able to manufacture clinical trial and commercial quantities of APR-1051 drug substance and drug product and to develop, validate and maintain a commercially viable manufacturing process that is compliant with current good manufacturing practices, or cGMP, at a scale sufficient to meet anticipated demand and over time enable us to reduce our cost of manufacturing</w:t>
            </w:r>
            <w:r>
              <w:rPr>
                <w:rFonts w:ascii="Times New Roman;font-size:10pt;font-style:normal;font-weight:normal" w:hAnsi="Times New Roman;font-size:10pt;font-style:normal;font-weight:normal"/>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establishment of scaled production arrangements with third-party manufacturers to obtain finished products that are compliant with cGMP and appropriately packaged for sale</w:t>
            </w:r>
            <w:r>
              <w:rPr>
                <w:rFonts w:ascii="Times New Roman;font-size:10pt;font-style:normal;font-weight:normal" w:hAnsi="Times New Roman;font-size:10pt;font-style:normal;font-weight:normal"/>
              </w:rPr>
              <w:t>;</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successful launch of commercial sales following any marketing approval;</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a continued acceptable safety and efficacy profile following any marketing approval;</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commercial acceptance by patients, the medical community and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availability of coverage and adequate reimbursement and pricing by third-party payors and government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availability, perceived advantages, relative cost, relative safety and relative efficacy of alternative and competing treatments; and</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our ability to compete with other therapies.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have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our product candidates. If we are not successful in commercializing APR-1051 or ATRN-119, or are significantly delayed in doing so, our business will be materially harmed</w:t>
      </w:r>
      <w:r>
        <w:rPr>
          <w:rFonts w:ascii="Times New Roman" w:hAnsi="Times New Roman"/>
          <w:sz w:val="20"/>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in the early stages of testing APR-1051 in Phase 1 clinical trials and we have not tested APR-1051 in later phase clinical trials. The results of preclinical studies and early-stage clinical trials may not be predictive of future results in later studies or trials. Initial success in clinical trials may not be indicative of results obtained when these trials are completed or in later-stage clinical trials.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in the early stages of testing APR-1051 in clinical trials and we have not tested APR-1051 in later phase clinical trials. The results of preclinical studies, whether or not conducted by us, may not be predictive of the results of clinical trials, and the results of the early-stage clinical trials that we are conducting today and that we may commence in the future may not be predictive of the results of the later-phase clinical trials. For example, even if successful, the results of our Phase 1 clinical trials of our product candidates APR-1051 and other product candidates may not be predictive of the results of further clinical trials of these product candidates or any of our other product candidates. In addition, initial success in clinical trials may not be indicative of results obtained when such trials are completed or in later stage clinical trials. In particular, the small number of patients in our current and planned early clinical trials may make the results of these trials less predictive of the outcome of later clinical trials. Moreover, preclinical and clinical data often are susceptible to varying interpretations and analyses, and many companies that have believed their product candidates performed satisfactorily in preclinical studies and clinical trials nonetheless have failed to obtain marketing licensure of their product candidates. Our current and future clinical trials for APR-1051 may not ultimately be successful or support further clinical development. There is a high failure rate for product candidates proceeding through clinical trials. In addition, with the closure of ABOYA-119 study as we explore ATRN-119 in potential combination approaches, we may be unable to advance development of ATRN-119 in a timely manner, if at all. Many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may not be able to file INDs or IND amendments to commence additional clinical trials on the timelines we expect, and even if we are able to, the FDA may not permit us to proceed.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filed and obtained issuance of INDs for APR-1051 and ATRN-119, but we may not be able to file and obtain issuance of INDs that may be required for our other product candidates on the timelines we expect. For example,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experience manufacturing delays or other delays with IND-enabling studies. Moreover, we cannot be sure that submission of an IND will result in the FDA allowing further clinical trials to begin, or that, once begun, issues will not arise that lead FDA, IRBs, or other authorities to suspend, terminate, or require changes to our clinical trials. Additionally, even if such regulatory and other authorities agree with the design and implementation of the clinical trials set forth in an IND, we cannot guarantee that such regulatory authorities will not change their requirements in the future. These considerations also apply to new clinical trials and changes to existing clinical trials we may submit as amendments to existing INDs or to a new IND. Any failure to file and obtain issuance of INDs on the timelines we expect or to obtain regulatory clearance or approvals for our trials may prevent us from completing our clinical trials or commercializing our products on a timely basis, if at all</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857" w:name="_Hlk132636668"/>
      <w:bookmarkStart w:id="858" w:name="_Hlk132636686"/>
      <w:bookmarkEnd w:id="857"/>
      <w:bookmarkEnd w:id="858"/>
      <w:r>
        <w:rPr>
          <w:rFonts w:ascii="Times New Roman;Times;serif" w:hAnsi="Times New Roman;Times;serif"/>
          <w:b/>
          <w:i/>
          <w:sz w:val="20"/>
        </w:rPr>
        <w:t>We have limited experience as a company conducting clinical trials and may be unable to complete pivotal clinical trials for any product candidates we may develop.*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Our success is dependent upon our ability to initiate and successfully complete clinical trials and obtain regulatory approval for and commercialization of our product candidates. We have not demonstrated an ability to perform the functions necessary for the approval or successful commercialization of any product candidate. The successful commercialization of any product candidate may require us to perform a variety of functions, including:</w:t>
      </w:r>
    </w:p>
    <w:p>
      <w:pPr>
        <w:pStyle w:val="TextBody"/>
        <w:bidi w:val="0"/>
        <w:spacing w:before="0" w:after="0"/>
        <w:ind w:left="0" w:right="0" w:hanging="0"/>
        <w:jc w:val="left"/>
        <w:rPr/>
      </w:pPr>
      <w:r>
        <w:rPr/>
        <w:t>​</w:t>
      </w:r>
    </w:p>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continuing to undertake preclinical development;</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designing and obtaining approval to commence clinical trials;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successfully planning and enrolling subjects in clinical trials;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completing clinical trials to obtain data that support regulatory approvals;</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participating in regulatory approval processes;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formulating and manufacturing products;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conducting sales and marketing activities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we have assembled a team with extensive experience in the discovery, development, and commercialization of oncology drugs to support our mission of developing novel synthetic lethality-based cancer therapeutics, we have limited experience designing, conducting and enrolling subjects in clinical trials. While certain members of our management and staff have significant experience in conducting clinical trials, to date, we have not completed any clinical trials as a company. Our operations to date provide a limited basis to assess our ability to develop and commercialize our product candidates. In addition, with the closure of the ABOYA-119 study as we explore ATRN-119 in potential combination approaches, we may be unable to advance development of ATRN-119 in a timely manner, if at all</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this lack of experience, any future clinical trials we may conduct may not be completed on time, if at all. Large-scale trials require significant financial and management resources, monitoring and oversight, and may require reliance on third-party clinical investigators, consultants or contract research organizations, or CROs. Relying on third-party clinical investigators, CROs and manufacturers, which are all also subject to governmental oversight and regulations, may also cause us to encounter delays that are outside of our control. Failure to commence or complete, or delays in, clinical trials, could prevent us from or delay us in commercializing our product candidates</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find it difficult to enroll patients in our clinical trials. If we experience delays or difficulties in the enrollment of patients in clinical trials, our receipt of necessary marketing approvals could be delayed or prevented.*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We may not be able to initiate or continue clinical trials for our product candidates if we are unable to locate and enroll a sufficient number of eligible patients to participate in these trials as required by the FDA or comparable foreign regulatory authorities. Patient enrollment is a significant factor in the timing of clinical trials and our ability to enroll eligible patients and maintain their enrollment may be limited or may result in slower enrollment than we anticipate.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Patient enrollment may be affected if our competitors have ongoing clinical trials for product candidates that are under development for the same indications as our product candidates, and patients who would otherwise be eligible for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 w:hAnsi="Times New Roman"/>
          <w:sz w:val="20"/>
        </w:rPr>
        <w:t>clinical trials instead enroll in clinical trials of our competitors’ product candidates. Patient enrollment may also be affected by other factors, including</w:t>
      </w:r>
      <w:r>
        <w:rPr>
          <w:rFonts w:ascii="Times New Roman;Times;serif" w:hAnsi="Times New Roman;Times;serif"/>
          <w:sz w:val="20"/>
        </w:rPr>
        <w:t>:</w:t>
      </w:r>
    </w:p>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nature of the patient population;</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severity of the disease under investigation;</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and efficacy of approved drugs for the disease under investigation;</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eligibility criteria for the trial in question;</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and clinicians’ perceived risks and benefits of the product candidate under study;</w:t>
            </w:r>
          </w:p>
        </w:tc>
      </w:tr>
    </w:tbl>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clinical trials or compassionate use programs;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facilitate timely enrollment in clinical trials;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physicians’ attitudes and practices with respect to clinical trial enrollment;</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proximity and availability of clinical trial sites for prospective patients; and</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enrollment of prospective patients by clinical trial sites.</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Our inability to enroll a sufficient number of patients for our clinical trials and maintain their enrollment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Leveraging synthetic lethality in therapeutic targeting of DDR represents an emerging strategy to treat a broad spectrum of cancers, and negative perceptions of the efficacy, safety, or tolerability of this class of targets, including any that we develop, could adversely affect our ability to conduct our business, advance our product candidates or obtain regulatory approvals.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Aside from PARP inhibitors, such as Lynparza, Rubraca, Zejula and Talzenna, no synthetic lethality small molecule inhibitor therapeutics have been approved to date by the FDA. Pamiparib, a PARP inhibitor developed by Beigene, was approved in 2021 in China. Adverse events in future clinical trials of our product candidates or in clinical trials of other similar products and the resulting publicity, as well as any other adverse events in the field of synthetic lethality and DDR, or any adverse events involving other products that are perceived to be similar to DDR, such as those related to immuno-oncology, antibody-drug conjugant, gene therapy or gene editing, could result in a decrease in the perceived benefit of one or more of our programs, increased regulatory scrutiny, decreased confidence by healthcare professionals, patients and CROs in our product candidates, difficulties and delays in regulatory clearance or approval for, enrollment of patients in, and conduct of, our clinical trials, and less demand for any product that we may develop. Our pipeline of product candidates could experience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product development programs, as well as our business as a whole</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 w:hAnsi="Times New Roman"/>
          <w:sz w:val="20"/>
        </w:rPr>
        <w:t>In addition, responses by U.S. federal or foreign governments to adverse events or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serious adverse or unacceptable side effects are identified during the development of our product candidates or we observe limited efficacy of our product candidates, we may need to abandon or limit the development of one or more of our product candidates.*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Adverse events or unacceptable side effects caused by, or other unexpected properties of, our product candidates could cause us, any future collaborators, an institutional review board, or IRB, ethics committee, or EC, or regulatory authorities to interrupt, delay or halt clinical trials of one or more of our product candidates and could result in the (i) delay or denial of marketing approval by the FDA or comparable foreign regulatory authorities, (ii) approval with significant restrictions on distribution or use or (iii) required labeling information regarding safety concerns, if approved</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our clinical trials of APR-1051 will or currently include cancer patients who are very sick and whose health is deteriorating. We expect that patients may experience adverse events, serious adverse events or may die during their participation in our current or future clinical trials for APR-1051 or other product candidates. We cannot predict with certainty what adverse events may occur in our clinical trials. Any adverse events, serious adverse events, or deaths occurring in our clinical trials, whether related to our product candidates or not, could affect perceptions relating to our product candidates. In addition, our previous clinical trials of eprenetapopt included cancer patients who were very sick and whose health was deteriorating, and we expect that additional clinical trials of eprenetapopt and our other product candidates would include similar patients with deteriorating health. Multiple patients in the eprenetapopt trials have experienced adverse events. The most commonly reported adverse events include nausea, vomiting, constipation, dizziness, fatigue, and neutropenia. Some patients in these trials have experienced serious adverse events. The most common serious adverse events include febrile neutropenia, pneumonia, sepsis, and pyrexia</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if any of our product candidates are associated with adverse events or undesirable side effects or have properties that are unexpected, our trials could be suspended or terminated and the FDA or comparable foreign regulatory authorities could order us to cease further development of or deny approval of our product candidates for any or all targeted indications. We, or any future collaborators, may abandon development or limit development of that product candidate to certain uses or subpopulations in which the undesirable side effects or other characteristics are less prevalent, less severe or more acceptable from a risk-benefit perspective. Drug-related side effects could affect patient recruitment or the ability of enrolled patients to complete the trial or result in potential product liability claims. Any of these occurrences may harm our business, results of operations, financial condition and prospects significantly.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currently have no drugs approved for sale and we cannot guarantee that we will ever have marketable drugs. Clinical failure can occur at any stage of clinical development.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product candidates are safe and effective for use in treating specific conditions in order to obtain marketing approvals for their commercial sale. Success in preclinical studies and early-stage clinical trials does not mean that future larger registration clinical trials will be successful because product candidates in later-stage clinical trials may fail to demonstrate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later-stage clinical trials. Additionally, the outcome of preclinical studies and early-stage clinical trials may not be predictive of the success of later-stage clinical trials. Further, in our oncology clinical trials to date, we have used achievement of stable disease as evidence for disease control (stable disease, partial response or complete response) by our product candidates; however, the FDA does not view stable disease as an objective response for the purposes of FDA approval.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r>
        <w:rPr>
          <w:rFonts w:ascii="Times New Roman" w:hAnsi="Times New Roman"/>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the design of a clinical trial can determine whether its results will support approval of a drug and flaws in the design of a clinical trial may not become apparent until the clinical trial is well advanced. We have limited experience in designing clinical trials and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the event that a safety issue, clinical hold, or other adverse finding occurs in one of our clinical trials, that event could adversely affect any other clinical trials for the same product candidate. Moreover, there is a relatively limited safety data set for product candidates with the same mechanism of action as APR-1051, ATRN-119 or our other product candidates. An adverse safety issue or other adverse finding in a clinical trial conducted by a third party with a similar mechanism of action could adversely affect clinical trials involving APR-1051 or our other product candidates</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Further, our product candidates may not be approved even if they achieve their primary endpoints in clinical trials, including registration trials. The FDA or comparable foreign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comparable foreign regulatory authorities. In addition, any of these regulatory authorities may also approve a product candidate for fewer or more limited indications than we request or may grant approval contingent on the performance of costly post-marketing clinical trials. In addition, the FDA or other comparable foreign regulatory authorities may not approve the labeling claims that we believe would be necessary or desirable for the successful commercialization of our product candidates.</w:t>
      </w:r>
    </w:p>
    <w:p>
      <w:pPr>
        <w:pStyle w:val="TextBody"/>
        <w:bidi w:val="0"/>
        <w:spacing w:before="0" w:after="0"/>
        <w:ind w:left="0" w:right="0" w:hanging="0"/>
        <w:jc w:val="left"/>
        <w:rPr>
          <w:rFonts w:ascii="Times New Roman" w:hAnsi="Times New Roman"/>
          <w:sz w:val="20"/>
        </w:rPr>
      </w:pPr>
      <w:r>
        <w:rPr>
          <w:rFonts w:ascii="Times New Roman" w:hAnsi="Times New Roman"/>
          <w:sz w:val="20"/>
        </w:rPr>
        <w:t>Before obtaining marketing approvals for the commercial sale of any product candidate for a target indication, we must demonstrate with substantial evidence gathered in preclinical studies and adequate and well-controlled clinical trials, and, with respect to approval in the United States, to the satisfaction of the FDA and elsewhere to the satisfaction of other comparable foreign regulatory authorities, that the product candidate is safe and effective for use for that target indication. There is no assurance that the FDA or other comparable foreign regulatory authorities will consider our future clinical trials to be sufficient to serve as the basis for approval of one of our product candidates for any indication. The FDA and other comparable foreign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859" w:name="_Hlk132637709"/>
      <w:bookmarkEnd w:id="859"/>
      <w:r>
        <w:rPr>
          <w:rFonts w:ascii="Times New Roman;Times;serif" w:hAnsi="Times New Roman;Times;serif"/>
          <w:b/>
          <w:i/>
          <w:sz w:val="20"/>
        </w:rPr>
        <w:t>Clinical 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 uncertain as to outcome. A failure of one or more clinical trials can occur at any stage of testing. The outcome of preclinical studies and early-stage clinical trials may not be predictive of the success of later clinical trials, and interim results of a clinical trial do not necessarily predict final results.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do not know whether ongoing clinical trials will be completed on schedule or at all, or whether future clinical trials will begin on time, need to be redesigned, enroll patients on time or be completed on schedule, if at all. Clinical trials can be delayed for a variety of reasons, including delays related to:</w:t>
      </w:r>
    </w:p>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authorization to commence a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contract research organizations, or CROs, and clinical trial sites, the terms of which can be subject to extensive negotiation and may vary significantly among different CROs and clinical trial sites;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institutional review board, or IRB, or ethics committee, or EC, approval at each clinical trial site;</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outbreak or pandemic on patient screening, patient enrollment, and follow-up;</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validating any companion diagnostic to be used in the trial, to the extent we are required to do so;</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failing to comply with the clinical trial protocol or dropping out of a trial;</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sites failing to comply with the clinical trial protocol or dropping out of a trial;</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deviations from approved clinical trial protocols that may occur</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conflicts with new or existing laws or regulations;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add new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product candidate for use in clinical trials and ensuring clinical trial material is provided to clinical sites in a timely manner;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advice from regulatory authorities regarding the statistical analysis plan to be used to evaluate the clinical trial data or other trial design issues.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experience numerous unforeseen events during, or as a result of, clinical trials that could delay or prevent our ability to receive marketing approval or commercialize our product candidates, including:</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feedback from regulatory authorities that requires us to modify the design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our product candidates may produce negative or inconclusive results, and we may decide, or regulators may require us, to conduct additional clinical trials or abandon drug development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contractors, including our CROs, may fail to comply with regulatory requirements or meet their contractual obligations to us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investigators, or any of the overseeing IRBs or ethics committees might decide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our product candidates may be greater than we anticipate;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or quality of our product candidates or other materials necessary to conduct clinical trials of our product candidates may be insufficient or inadequate;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may revise the requirements for approving our product candidates, or such requirements may not be as we anticipate;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collaborators that conduct clinical trials may face any of the above issues and may conduct clinical trials in ways they view as advantageous to them but that are suboptimal for us.</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insufficiently positive to support marketing approval, or if there are safety concerns, we may:</w:t>
      </w:r>
    </w:p>
    <w:tbl>
      <w:tblPr>
        <w:tblW w:w="2376" w:type="dxa"/>
        <w:jc w:val="left"/>
        <w:tblInd w:w="0" w:type="dxa"/>
        <w:tblLayout w:type="fixed"/>
        <w:tblCellMar>
          <w:top w:w="28" w:type="dxa"/>
          <w:left w:w="28" w:type="dxa"/>
          <w:bottom w:w="28" w:type="dxa"/>
          <w:right w:w="28" w:type="dxa"/>
        </w:tblCellMar>
      </w:tblPr>
      <w:tblGrid>
        <w:gridCol w:w="124"/>
        <w:gridCol w:w="25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unplanned costs;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in obtaining marketing approval for our product candidates or not obtain marketing approval at all;</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marketing approval in some countries and not in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marketing approval for indications or patient populations that are narrower or more limited in scope than intended or desired;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marketing approval subject to significant use or distribution restrictions or with labeling that includes significant safety warnings, including boxed warnings;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subject to additional post-marketing testing requirements; or</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drug removed from the market after obtaining marketing approval.</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Our drug development costs will also increase if we experience delays in testing or marketing approvals. We do not know whether clinical trials will begin as planned, will need to be restructured or will be completed on schedule, or at all. Furthermore, we rely on third-party CROs and clinical trial sites to ensure the proper and timely conduct of our clinical trials, and while we have agreements governing their committed activities, we have limited influence over their actual performance. Significant clinical trial delays also could shorten any periods during which we may have the exclusive right to commercialize our product candidates or allow our competitors to bring drugs to market before we do and impair our ability to successfully commercialize our product candidates and may harm our business and 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240"/>
        <w:ind w:left="0" w:right="0" w:hanging="0"/>
        <w:jc w:val="left"/>
        <w:rPr/>
      </w:pPr>
      <w:r>
        <w:rPr/>
        <w:t>​</w:t>
      </w:r>
    </w:p>
    <w:p>
      <w:pPr>
        <w:pStyle w:val="TextBody"/>
        <w:bidi w:val="0"/>
        <w:spacing w:before="40" w:after="0"/>
        <w:ind w:left="0" w:right="0" w:hanging="0"/>
        <w:jc w:val="left"/>
        <w:rPr>
          <w:rFonts w:ascii="Times New Roman" w:hAnsi="Times New Roman"/>
          <w:sz w:val="20"/>
        </w:rPr>
      </w:pPr>
      <w:r>
        <w:rPr>
          <w:rFonts w:ascii="Times New Roman" w:hAnsi="Times New Roman"/>
          <w:sz w:val="20"/>
        </w:rPr>
        <w:t xml:space="preserve">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required to in the future and if we are unable to successfully develop companion diagnostic tests for our product candidates that require such tests, or experience significant delays in doing so, we may not realize the full commercial potential of these product candidates.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may be required by the FDA to develop, either by ourselves or with collaborators, companion diagnostic tests for our product candidates for certain indications. To be successful,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and manufacture of companion diagnostic tests for our therapeutic product candidates that require such tests.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Any failure to successfully develop this companion diagnostic may cause or contribute to delayed enrollment of this trial, and may prevent us from initiating or completing further clinical trials to support marketing approval for our product candidates. As a result, our business, results of operations and financial condition could be materially harmed.</w:t>
      </w:r>
    </w:p>
    <w:p>
      <w:pPr>
        <w:pStyle w:val="TextBody"/>
        <w:bidi w:val="0"/>
        <w:spacing w:before="40" w:after="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identify or discover additional potential product candidates.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research programs may initially show promise in identifying potential product candidates, yet fail to yield product candidates for clinical development for a number of reasons, including:</w:t>
      </w:r>
    </w:p>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methodology used may not be successful in identifying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or other characteristics that indicate that they are unlikely to be drugs that will receive marketing approval and/or achieve market acceptance; and</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not be safe or effective in treating their targeted diseases.</w:t>
            </w:r>
          </w:p>
        </w:tc>
      </w:tr>
    </w:tbl>
    <w:p>
      <w:pPr>
        <w:pStyle w:val="TextBody"/>
        <w:bidi w:val="0"/>
        <w:spacing w:before="200" w:after="240"/>
        <w:ind w:left="0" w:right="0" w:hanging="0"/>
        <w:jc w:val="left"/>
        <w:rPr>
          <w:rFonts w:ascii="Times New Roman;Times;serif" w:hAnsi="Times New Roman;Times;serif"/>
          <w:sz w:val="20"/>
        </w:rPr>
      </w:pPr>
      <w:r>
        <w:rPr>
          <w:rFonts w:ascii="Times New Roman;Times;serif" w:hAnsi="Times New Roman;Times;serif"/>
          <w:sz w:val="20"/>
        </w:rPr>
        <w:t>Research programs to identify new product candidates require substantial technical, financial and human resources. If we are unable to identify suitable compounds for preclinical and clinical development, our business would be harmed.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any of our product candidates receives marketing approval and we, or others, later discover that the drug is less safe or effective than previously believed or causes undesirable side effects that were not previously identified, our ability, or that of any future collaborators, to market the drug could be compromised.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Clinical trials of our product candidates must be conducted in carefully defined subsets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safe or effective than previously believed or causes undesirable side effects that were not previously identified, a number of potentially significant negative consequences could result, including:</w:t>
      </w:r>
    </w:p>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regulatory authorities may withdraw their approval of the drug or seize the drug;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we, or any future collaborators, may be required to recall the drug, change the way the drug is administered or conduct additional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additional restrictions may be imposed on the marketing of, or the manufacturing processes for, the particular drug;</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we may be subject to fines, injunctions or the imposition of civil or criminal penalties;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regulatory authorities may require the addition of labeling statements, such as a “black box” warning or a contraindication;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we, or any future collaborators, may be required to create a Medication Guide outlining the risks of the previously unidentified side effects for distribution to patients;</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we, or any future collaborators, could be sued and held liable for harm caused to patients;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drug may become less competitive in the marketplace; and</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our reputation may suffer.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of these events could have a material and adverse effect on our operations and business and could adversely impact our stock price.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any of our product candidates receive marketing approval, they may fail to achieve the degree of market acceptance by physicians, patients, healthcare payors and others in the medical community necessary for commercial success.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efficacy and safety of the product;</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potential advantages of the product compared to alternative therapies;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prevalence and severity of any side effects;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whether the product is designated under physician and other provider treatment guidelines as a first-, second- or third-line therapy;</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our ability, or the ability of any future collaborators, to offer the product for sale at competitive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product’s convenience and ease of administration for patients and healthcare practitioners compared to alternative treatments;</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willingness of the target patient population to try, and of physicians to prescribe,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limitations or warnings, including distribution or use restrictions and safety information contained in the product’s approved labeling;</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strength of sales, marketing and distribution support;</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changes in the standard of care for the targeted indications for the product;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availability of coverage by, and the amount of reimbursement from, government payors, managed care plans and other third-party payors.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face substantial competition, which may result in others discovering, developing or commercializing products before or more successfully than we do.*</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pharmaceutical and biotechnology industries generally, and the cancer drug sector specifically, are highly competitive and characterized by rapidly advancing technologies, evolving understanding of disease etiology and a strong emphasis on proprietary new drugs. We face competition with respect to APR-1051, ATRN-119 and our other product candidates, and will face competition with respect to any product candidates that we may seek to discover and develop or commercialize in the future, from major pharmaceutical, specialty pharmaceutical and biotechnology companies. There are a number of major pharmaceutical, specialty pharmaceutical and biotechnology companies that currently market and sell drugs or are pursuing the development of drugs for the treatment of cancer. Potential competitors also include academic institutions and governmental agencies and public and private research institutions.</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There are a large number of companies developing or marketing treatments for cancer, including the indications for which we may develop product candidates. Many of the companies that we compete or may compete against in the future have significantly greater financial resources and expertise in research and development, manufacturing, preclinical testing, conducting clinical trials, obtaining regulatory approvals and marketing approved drugs than we do. Small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pStyle w:val="TextBody"/>
        <w:bidi w:val="0"/>
        <w:spacing w:before="0" w:after="240"/>
        <w:ind w:left="0" w:right="0" w:hanging="0"/>
        <w:jc w:val="left"/>
        <w:rPr>
          <w:rFonts w:ascii="Times New Roman" w:hAnsi="Times New Roman"/>
          <w:sz w:val="20"/>
        </w:rPr>
      </w:pPr>
      <w:r>
        <w:rPr>
          <w:rFonts w:ascii="Times New Roman" w:hAnsi="Times New Roman"/>
          <w:sz w:val="20"/>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comparable foreign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a variety of available drug therapies marketed for cancer. In many cases, these drugs are administered in combination to enhance efficacy. Some of the currently approved drug therapies are branded and subject to patent protection and may be established as the standard of care for treatment of indications for which we may choose to seek regulatory approvals. Many of these approved drugs are well-established therapies and are widely accepted by physicians, patients and third-party payors, and, even if our product candidates were to be approved, there can be no assurance that our product candidates would displace existing treatments. In addition to currently marketed therapies, there are also a number of drugs in late-stage clinical development to treat cancer, including the indications for which we are developing product candidates. These clinical-stage product candidates may provide efficacy, safety, tolerability, convenience and other benefits that are not provided by currently marketed therapies. As a result, they may provide significant competition for any of our product candidates for which we obtain regulatory approval</w:t>
      </w:r>
      <w:r>
        <w:rPr>
          <w:rFonts w:ascii="Times New Roman" w:hAnsi="Times New Roman"/>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developing APR-1051, which is an orally bioavailable small molecule inhibitor of WEE1, a key regulator of multiple phases of the cell cycle. We are aware of other product candidates that are in preclinical and clinical development for the treatment of various cancers through similar mechanisms of action, including product candidates developed by Zentalis Pharmaceuticals, Debiopharm, IMPACT Therapeutics, Schrodinger and Acrivon Therapeutics, among others. If APR-1051 were to be approved, it will compete with currently marketed drugs or drugs that may be approved for marketing by the FDA or comparable foreign regulatory authorities in the future and such competition will not be limited to drugs with similar mechanisms of action</w:t>
      </w:r>
      <w:r>
        <w:rPr>
          <w:rFonts w:ascii="Times New Roman" w:hAnsi="Times New Roman"/>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would suffer in the event of IT system failures, cybersecurity attacks, data breaches, or vulnerabilities in our or our third-party vendors’ information security program or defenses.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Our business relies upon information technology systems operated by us and by our third party service providers. These systems may fail or experience operational disruption, experience cybersecurity attacks, or be damaged by computer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viruses and unauthorized access.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have developed, and continue to mature our policies and procedures to ensure the security and integrity of our information technology systems and confidential and proprietary information. If we do not continue to mature our cybersecurity defensive technological safeguards, policies and procedures or those safeguards, policies and procedures are insufficient to ensure the protection of our information technology systems and confidential and proprietary information, we may be vulnerable to security breaches or disruptions and system breakdowns or other damage or interruptions, and face legal and reputational risk. We also have outsourced elements of our operations to third parties, and as a result we manage a number of third-party vendors and other contractors and consultants who have access to or store our confidential information. While we endeavor to select providers with reasonable and industry standard information security programs, we are reliant on these third-party vendors’ commitments regarding their information technology systems and cybersecurity programs.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and the further development and commercialization of our product candidates could be delayed. While we have not, to our knowledge, experienced any material IT system failures or cybersecurity attacks to date, we frequently must defend against and respond to cybersecurity incidents and attacks and cannot assure you that our data protection efforts and our investment in information technology will prevent significant breakdowns, data leakages, compromises of personal information or confidential commercial information, other operationally significant breaches in our systems or those of our third-party vendors and other contractors and consultants, or other cyber incidents that could have a material adverse effect upon our reputation, business, operations or financial condition. If such an event were to occur and cause interruptions in our operations, it could result in a material disruption of our development programs, business operations, a breach of sensitive personal information or a loss or corruption of critical data assets including trade secrets or other proprietary information. For example, the loss of clinical trial data from future clinical trials could result in delays in our regulatory approval efforts and significantly increase our costs to recover or reproduce the data. Such IT system failures, cybersecurity attacks or vulnerabilities to our or our third-party vendors’ information security programs or defenses could result in legal liability, reputational damage, business interruption, and our competitive position could be harmed and the further development and commercialization of our products or any future products could be delayed or disrupted. Moreover, containing and remediating any IT system failure, cybersecurity attack or vulnerability may require significant investment of resources. Furthermore, significant security breaches or disruptions of our internal information technology systems or those of our third-party vendors and other contractors and consultants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in the future, we are unable to establish sales and marketing capabilities or enter into agreements with third parties to sell and market our product candidates, we may not be successful in commercializing our product candidates if and when they are approved.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Factors that may inhibit our efforts to commercialize our product candidates on our own include:</w:t>
      </w:r>
    </w:p>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our inability to recruit and retain adequate numbers of effective sales and marketing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limitations or restrictions on the ability of sales personnel to appropriately market the product to physicians or other healthcare professionals;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lack of complementary drugs to be offered by sales personnel, which may put us at a competitive disadvantage relative to companies with more extensive product 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unforeseen costs and expenses associated with creating an independent sales and marketing organization;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inability to obtain sufficient coverage and reimbursement from third-party payors and governmental agencies.</w:t>
            </w:r>
          </w:p>
        </w:tc>
      </w:tr>
    </w:tbl>
    <w:p>
      <w:pPr>
        <w:pStyle w:val="TextBody"/>
        <w:bidi w:val="0"/>
        <w:spacing w:before="240" w:after="240"/>
        <w:ind w:left="0" w:right="0" w:hanging="0"/>
        <w:jc w:val="left"/>
        <w:rPr>
          <w:rFonts w:ascii="Times New Roman" w:hAnsi="Times New Roman"/>
          <w:sz w:val="20"/>
        </w:rPr>
      </w:pPr>
      <w:r>
        <w:rPr>
          <w:rFonts w:ascii="Times New Roman" w:hAnsi="Times New Roman"/>
          <w:sz w:val="20"/>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Third parties may also fail to devote the necessary resources and attention to sell and market our product candidates effectively and we may not have sufficient control or oversight over third parties to ensure they sell and market our product candidates in compliance with all applicable law. If we do not establish sales and marketing capabilities successfully, either on our own or in collaboration with third parties, we will not be successful in commercializing our product candidates.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the FDA or comparable foreign regulatory authorities approve generic versions of any of our product candidates that receive marketing approval, or such authorities do not grant our product candidates appropriate periods of data or market exclusivity before approving generic versions of our product candidates, the sales of our product candidates could be adversely affected.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Once an NDA is approved, the drug covered thereby becomes a “reference-listed drug” in the FDA’s publication, “Approved Drug Products with Therapeutic Equivalence Evaluations,” known as the “Orange Book.” Manufacturers may seek marketing approval of generic versions of reference-listed drugs through submission of abbreviated new drug applications, or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r>
        <w:rPr>
          <w:rFonts w:ascii="Times New Roman" w:hAnsi="Times New Roman"/>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FDA may not approve an ANDA for a generic drug until any applicable period of non-patent regulatory exclusivity for the reference-listed drug has expired. The Federal Food, Drug, and Cosmetic Act, or FDCA, provides a period of five years of data exclusivity for a new drug containing a new chemical entity, or NCE. During the data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marketing exclusivity covers only the conditions associated with the new clinical investigations and does not prohibit the FDA from approving ANDAs for product candidates containing the original active agent for other conditions of use. Five-year data exclusivity and three-year marketing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drug competition that our product candidates may face from generic versions of our product candidates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 candidates, if and when approved, are not afforded the appropriate periods of non-patent exclusivity</w:t>
      </w:r>
      <w:r>
        <w:rPr>
          <w:rFonts w:ascii="Times New Roman" w:hAnsi="Times New Roman"/>
          <w:sz w:val="20"/>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obtain regulatory approval of any product candidate, the approved product may be subject to post-approval studies and will remain subject to ongoing regulatory requirements. If we fail to comply, or if concerns are identified in subsequent studies, our approval could be withdrawn, and our product sales could be suspended.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are successful at obtaining regulatory approval for APR-1051 or any of our other product candidates, regulatory agencies in the United States and other countries where a product will be sold may require extensive additional clinical trials or post-approval clinical trials that are expensive and time-consuming to conduct. Clinical trials may reveal side effects or other harmful effects in patients that use our products after they are on the market, which may result in the limitation or withdrawal of our drugs from the market. Alternatively, we may not be able to conduct such additional trials, which might force us to abandon our efforts to develop or commercialize certain product candidates. Even if post-approval studies are not requested or required, after our products are approved and on the market, there might be safety issues that emerge over time that require a change in product labeling, additional post-market studies or clinical trials, imposition of distribution and use restrictions under a Risk Evaluation and Mitigation Strategy, or REMS, or withdrawal of the product from the market, which would cause our revenue to decline</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Additionally, any products that we may successfully develop will be subject to ongoing regulatory requirements after they are approved. These requirements will govern the manufacturing, packaging, marketing, distribution, and use of our products. If we fail to comply with such regulatory requirements, approval for our products may be withdrawn, and product sales may be suspended. We may not be able to regain compliance, or we may only be able to regain compliance after a lengthy delay, significant expense, lost revenues and damage to our reputation.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are able to commercialize any product candidate, such product candidate may become subject to unfavorable pricing regulations, third-party coverage and reimbursement policies or healthcare reform initiatives, which could harm our business.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regulations that govern marketing approval, pricing, coverage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Our ability to commercialize any products successfully also will depend in part on the extent to which reimbursement and coverage for these products and related treatments will be available from government authorities, private health insurers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primary trend in the healthcare industry in the United States and elsewhere is cost containment. Government authorities and third-party payors have attempted to control costs by limiting coverage and the amount of reimbursement for particular medications.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medical products. We cannot be sure that coverage and reimbursement will be available for any drug that we commercialize and, if coverage and reimbursement are available, we cannot be sure as to the level of reimbursement. Reimbursement may impact the demand for, or the price of, any product candidate for which we obtain marketing approval. If reimbursement is not available or is available only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to limited levels, we may not be able to successfully commercialize any product candidate for which we obtain marketing approval.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There may be significant delays in obtaining reimbursement for newly approved drugs, and coverage may be more limited than the purposes for which the drug is approved by the FDA or comparable foreign regulatory authorities. Moreover, eligibility for reimbursement does not imply that any drug will be reimbursed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may be incorporated into existing payments for other items or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Our inability to promptly obtain coverage and adequate reimbursement rates from both government-funded and private payors for new products that we develop and for which we obtain marketing approval could have a material adverse effect on our operating results, our ability to raise capital needed to commercialize products and our overall financial condition.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to limit commercialization of any drugs that we may develop. Our insurance policies may be inadequate and may potentially expose us to unrecoverable risk.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face an inherent risk of product liability exposure related to the testing of our product candidates in clinical trials and will face an even greater risk if we commercially sell any drugs that we may develop. If we cannot successfully defend ourselves against claims that our product candidates or drugs caused injuries, we will incur substantial liabilities. Regardless of merit or eventual outcome, liability claims may result in:</w:t>
      </w:r>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product candidates or drugs that we may develop;</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injury to our reputation and significant negative media attention;</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withdrawal of clinical trial participants;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significant costs to defend the related litigation;</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substantial monetary awards to trial participants or patients;</w:t>
            </w:r>
          </w:p>
        </w:tc>
      </w:tr>
    </w:tbl>
    <w:tbl>
      <w:tblPr>
        <w:tblW w:w="2016" w:type="dxa"/>
        <w:jc w:val="left"/>
        <w:tblInd w:w="0" w:type="dxa"/>
        <w:tblLayout w:type="fixed"/>
        <w:tblCellMar>
          <w:top w:w="28" w:type="dxa"/>
          <w:left w:w="28" w:type="dxa"/>
          <w:bottom w:w="28" w:type="dxa"/>
          <w:right w:w="28" w:type="dxa"/>
        </w:tblCellMar>
      </w:tblPr>
      <w:tblGrid>
        <w:gridCol w:w="124"/>
        <w:gridCol w:w="25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loss of revenue;</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reduced resources of our management to pursue our business strategy; and</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font-size:10pt;font-style:normal;font-weight:normal" w:hAnsi="Times New Roman;font-size:10pt;font-style:normal;font-weight:normal"/>
              </w:rPr>
            </w:pPr>
            <w:r>
              <w:rPr>
                <w:rFonts w:ascii="Times New Roman;font-size:10pt;font-style:normal;font-weight:normal" w:hAnsi="Times New Roman;font-size:10pt;font-style:normal;font-weight:normal"/>
              </w:rPr>
              <w:t>the inability to commercialize any drugs that we may develop.</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currently hold clinical trial liability insurance coverage for up to $5.0 million, but that coverage may not be adequate to cover any and all liabilities that we may incur. We would need to increase our insurance coverage when we begin the commercialization of our product candidates, if ever. Insurance coverage is increasingly expensive. We may not be able to maintain insurance coverage at a reasonable cost or in an amount adequate to satisfy any liability that may arise.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of the United States tend to impose strict price controls, which may adversely affect our revenues from the sales of our products, if any.</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In some countries, particularly member states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continue after reimbursement has been obtained. Reference pricing used by various EU member states and parallel distribution, or arbitrage between low-priced and high-priced member states, can further reduce prices. In some countries, we, or our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could be materially harmed.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reactivation of p53 is a novel and unproven therapeutic approach and our development of eprenetapopt may never lead to a marketable product.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We believe that mutant p53 still has the potential to be an attractive target for novel cancer therapy due to the high incidence of p53 mutations across a range of cancer types and the universally inferior prognosis for cancer patients with mutated p53. However, to our knowledge, no one has advanced a product candidate with this mechanism of action into the market. The scientific evidence to support the feasibility of developing these product candidates is both preliminary and limited. For instance, even though eprenetapopt has shown promising results in preclinical studies and early-stage clinical trials, we may not succeed in demonstrating safety and efficacy of eprenetapopt in larger-scale clinical trials. In December 2020, we announced that our pivotal Phase 3 trial failed to meet its predefined primary endpoint of complete remission (CR) rate. On August 4, 2021, the U.S. Food and Drug Administration (FDA) placed a partial clinical hold on the clinical trials of eprenetapopt in combination with azacitidine in our myeloid malignancy programs. On August 11, 2021, the FDA placed a clinical hold on our clinical trial evaluating eprenetapopt with acalabrutinib or with venetoclax and rituximab in lymphoid malignancies. In the first quarter of 2022, FDA notified us that it would continue the partial clinical hold on three ongoing clinical studies in our myeloid program. However, we received clearance from FDA to proceed under our existing IND with a new trial in R/R MDS and AML.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Given these results, FDA feedback and the costs of continuing the p53 reactivator development programs, we have shifted our primary focus of our activities to the discovery and development of molecules targeting DDR pathways in oncology through synthetic lethality. Advancing eprenetapopt as a novel product to reactivate p53 creates significant challenges for us, including: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marketing approval, as obtaining regulatory approval of a p53 reactivator from the FDA or comparable foreign regulatory authorities has never been done before;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educating medical personnel regarding the potential efficacy and safety benefits, as well as the challenges, of incorporating our product candidates, if approved, into treatment regimens; </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strengthening and extending the duration of the IP protection of the p53 reactivator; and</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the sale and marketing capabilities to gain market acceptance, if approved.</w:t>
            </w:r>
          </w:p>
        </w:tc>
      </w:tr>
    </w:tbl>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our clinical trials and some aspects of our research and preclinical studies, and those third parties may not perform satisfactorily, including failing to conduct their operations in compliance with regulatory requirements or to meet deadlines for the completion of such trials, research and studies.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currently rely on third parties, such as CROs, clinical data management organizations, medical institutions and clinical investigators, to conduct our clinical trials and expect to continue to rely upon third parties to conduct additional clinical trials. We currently rely and expect to continue to rely on third parties to conduct some aspects of our research and preclinical studies. Any of these third parties may terminate their engagements with us at any time. If we need to enter into alternative arrangements, it would delay our drug development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reliance on these third parties for research and development activities will reduce our control over these activities but will not relieve us of our regulatory responsibilities. For example, we will remain responsible for ensuring that each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our clinical trials is conducted in accordance with the general investigational plan, study protocols for the trial, statistical analysis plan and other study-specific documents (for example, monitoring and blinding plans). Moreover, the FDA requires us to comply with standards, commonly referred to as GCP, International Council for Harmonization of Technical Requirements for Pharmaceuticals for Human Use, or ICH, guidelines, and regulations regarding the informed consent process, safety reporting requirements, data collection guidelines, and other regulations for conducting, recording and reporting the results of clinical trials to assure that data and reported results are credible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and other applicable regulations. In addition, our clinical trials must be conducted with product produced under current Good Manufacturing Practices, or cGMP, regulations. Our failure to comply with these regulations may require us to conduct new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also expect to rely on other third parties to store and distribute drug supplies for our clinical trials. Any performance failure on the part of such third parties could delay clinical development or marketing approval of our product candidates or commercialization of our product candidates, producing additional losses and depriving us of potential revenue from sales of drugs.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Although we currently plan to retain all commercial rights to our product candidates, we may enter into strategic collaborations for the development, marketing and commercialization of our product candidates. If those collaborations are not successful, the development, marketing and/or commercialization of our product candidates that are the subject of such collaborations would be harmed.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As we further develop our product candidates, we may build a commercial infrastructure with the capability to directly market it to a variety of markets and geographies. Although we currently plan to retain all commercial rights to our product candidates, we may enter into strategic collaborations for the development, marketing and commercialization of our product candidates.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0" w:after="240"/>
        <w:ind w:left="0" w:right="0" w:hanging="0"/>
        <w:jc w:val="left"/>
        <w:rPr>
          <w:rFonts w:ascii="Times New Roman" w:hAnsi="Times New Roman"/>
          <w:sz w:val="20"/>
        </w:rPr>
      </w:pPr>
      <w:r>
        <w:rPr>
          <w:rFonts w:ascii="Times New Roman" w:hAnsi="Times New Roman"/>
          <w:sz w:val="20"/>
        </w:rPr>
        <w:t>Collaborations involving our product candidates would pose the following risks to us: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these collaborations;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drugs that compete directly or indirectly with our product candidates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drugs may not commit sufficient resources to the marketing and distribution of such drug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obtain, maintain, defend and enforce our intellectual property rights or may use our proprietary information in such a way as to invite litigation that could jeopardize or invalidate our proprietary information or expose us to potential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misappropriate or otherwise violate the intellectual property rights of third parties, which may expose us to litigation and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certain valuable rights under circumstances identified in any collaboration arrangement that we enter into, such as if we undergo a change of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and, if terminated, may result in a need for additional capital to pursue further development, marketing and/or commercialization of the applicable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learn about our discoveries, data, proprietary information, trade secrets, or compounds and use this knowledge to compete with us in the future; and</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our collaborations could adversely affect our attractiveness to future collaborators or acquirers.</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Collaboration agreements may not lead to development or commercialization of product candidates in the most efficient manner, or at all.</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currently dependent on a single third party manufacturer for the manufacture of the active pharmaceutical ingredient for our product candidates. This reliance on a single third party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do not have any manufacturing facilities or personnel, and we currently have no plans to build our own clinical or commercial scale manufacturing capabilities. We currently contract with third parties for the manufacture of our product candidates for certain preclinical trials and clinical trial materials, including raw materials and consumables necessary for their manufacture, consistent with applicable cGMP requirements. We intend to continue to contract for these materials in the future, including commercial manufacture if our product candidates receive marketing approval.</w:t>
      </w:r>
    </w:p>
    <w:p>
      <w:pPr>
        <w:pStyle w:val="TextBody"/>
        <w:bidi w:val="0"/>
        <w:spacing w:before="0" w:after="240"/>
        <w:ind w:left="0" w:right="0" w:hanging="0"/>
        <w:jc w:val="left"/>
        <w:rPr>
          <w:rFonts w:ascii="Times New Roman" w:hAnsi="Times New Roman"/>
          <w:sz w:val="20"/>
        </w:rPr>
      </w:pPr>
      <w:r>
        <w:rPr>
          <w:rFonts w:ascii="Times New Roman" w:hAnsi="Times New Roman"/>
          <w:sz w:val="20"/>
        </w:rPr>
        <w:t xml:space="preserve">The API and drug product for our product candidates is currently manufactured by a single contract manufacturer. Although we may do so in the future, we do not currently have arrangements in place for redundant supply of the API and drug product for our product candidates.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 w:hAnsi="Times New Roman"/>
          <w:sz w:val="20"/>
        </w:rPr>
        <w:t>We expect to rely on third-party manufacturers or third-party collaborators for the manufacture of our product candidates for commercial supply of any of our product candidates for which we or any of our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failure of the third party to manufacture our product candidate according to our schedule, or at all, including if our third-party contractors give greater priority to the supply of other products over our product candidates or otherwise do not satisfactorily perform according to the terms of the agreements between us and them;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agreements by our third-party contractors at a time that is costly or inconvenient for us;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by the third-party contractors of our agreements with them;</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third-party contractors to comply with applicable regulatory requirements;</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failure of the third party to manufacture our product candidates according to our specifications;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mislabeling of clinical supplies, potentially resulting in issues including the wrong dose amounts being supplied or active drug or placebo not being properly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clinical supplies not being delivered to clinical sites on time, leading to clinical trial interruptions, or of drug supplies not being distributed to commercial vendors in a timely manner, resulting in lost sales; and</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misappropriation of our proprietary information, including our trade secrets and know-how.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facilities used by our contract manufacturers to manufacture our product candidates must be approved by the FDA or the EMA pursuant to inspections that will be conducted after we submit our NDA to the FDA or our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and harm our business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drugs that we may develop may compete with other product candidates and drugs for access to manufacturing facilities. There are a limited number of manufacturers that operate under cGMP regulations and that might be capable of manufacturing for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currently have arrangements in place for redundant supply of the API of our product candidates. If our current contract manufacturer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product candidates or drugs may adversely affect our future profit margins and our ability to commercialize any drugs that receive marketing approval on a timely and competitive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unable to obtain and maintain intellectual property protection for our product candidates or for our technology, our competitors could develop and commercialize products or technology similar or identical to ours, and our ability to successfully commercialize any product candidates we may develop, and our technology may be adversely affected.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commercial success will depend in large part on obtaining and maintaining patent, trademark and trade secret protection of our proprietary technologies and our product candidates, their respective components, formulations, methods used to manufacture them and methods of treatment, as well as successfully defending these patents against third-party challenges. We seek to protect our proprietary position by filing patent applications in the United States and abroad relating to our product candidates as well as other technologies that are important to our business. Our ability to stop unauthorized third parties from making, using, selling, offering to sell or importing our product candidates is dependent upon the extent to which we have rights under valid and enforceable patents or trade secrets that cover these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chemical structure of eprenetapopt is in the public domain. Accordingly, we do not own or license any composition of matter patents claiming the compound of eprenetapopt and will not in the future own or license any composition of matter patents claiming the chemical structure of eprenetapopt as described in the public domain. Our patent portfolio for eprenetapopt currently consists of method-of-use and formulation patent claims, and dosing, manufacturing processes, crystalline solid form, and combination therapy patent application claims. Our existing patents and any future patents we obtain may not be sufficiently broad to prevent others from using our technology or from developing competing products and technologies. Any failure to obtain or maintain patent protection with respect to eprenetapopt and our other product candidates could have a material adverse effect on our business, financial condition, results of operations and growth prospects. If it is later determined that our activities or product candidates infringe, misappropriate or otherwise violate the intellectual property of third parties we may be liable for damages, enhanced damages or subjected to an injunction, any of which could have a material adverse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patent portfolio for our portfolio of DDR inhibitors, including our WEE1, ATR and DYRK1 programs, currently includes compositions of matter, pharmaceutical compositions, and methods of use patent claims. Our existing patents and any future patents we may obtain may not be sufficiently broad to prevent others from using our technology or from developing competing products and technologies. Any failure to obtain or maintain patent protection with respect to our portfolio of DDR inhibitors could have a material adverse effect on our business, financial condition, results of operations and growth prospects. If it is later determined that our activities or product candidates infringe, misappropriate or otherwise violate the intellectual property of third parties we may be liable for damages, enhanced damages or subjected to an injunction, any of which could have a material adverse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patenting process is expensive and time-consuming, and we may not be able to file and prosecute all necessary or desirable patent applications at a reasonable cost or in a timely manner. In addition, we may not pursue or obtain patent protection in all relevant markets. During the course of business, we have decided not to pursue certain products or processes and have not pursued certain corresponding intellectual property. However, we may decide to pursue such products or processes again in the future. It is also possible that we will fail to identify patentable aspects of our research and development output before it is too late to obtain patent protection.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We are aware of certain scientific publications by our inventors and other third parties that disclose subject matter relating to certain of our patents, that may be used by third parties to challenge the validity and enforceability of our patents and patent applications. If such third parties are successful, we could lose valuable patent rights. In the United States, an inventor’s own publication cannot be used as prior art to the inventor’s patent application on the same subject matter when published less than one year before the effective filing date of the patent application. Such a publication may be considered prior art in certain jurisdictions that do not provide such a grace period.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certain of these parties have and others may in the future breach the agreements and disclose such output before a patent application is filed, thereby jeopardizing our ability to seek patent protection.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Moreover, the coverage claimed in a patent application can be significantly reduced before the patent is issued, and its scope can be reinterpreted after issuance.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issuance of a patent is not conclusive as to its inventorship, scope, validity or enforceability, and our patents may be challenged in the courts or patent offices in the United States and abroad. Such challenges may result in the patent claims of our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In addition, some of our owned patents and patent applications may in the future be co-owned with third parties. If we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co-owned patents in order to enforce such patents against third parties, and such cooperation may not be provided to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Given the amount of time required for the development, testing and regulatory review of new product candidates, which may be extended due to epidemic or pandemic disease outbreaks,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 Upon the expiration of our current patents, we may lose the right to exclude others from practicing these inventions based on patent exclusivity. The expiration of these patents could also have a similar material adverse effect on our business, results of operations,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proprietary position for eprenetapopt depends upon patents that consist of formulation patent claims, which may not prevent a competitor or other third party from using the same product candidate for another use or in another formulation.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Composition-of-matter patent claims on the active pharmaceutical ingredient, or API, in pharmaceutical drug products are generally considered to be the favored form of intellectual property protection for drug products because such patents may provide protection without regard to any particular method of use or manufacture or formulation of the API used. The chemical structure of eprenetapopt is in the public domain. Accordingly, we do not own or license any composition of matter patents claiming the compound of eprenetapopt and will not in the future own or license any composition of matter patents claiming the chemical structure of eprenetapopt as described in the public domain.</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Method-of-use patent claims protect the use of a product for the specified method and dosing or formulation patent claims cover dosing regimens or formulations of the API. These types of patent claims do not prevent a competitor or other third party from marketing an identical API for an indication that is outside the scope of the method claims or from developing a different dosing regimen or formulation that is outside the scope of the dosing or formulation claims.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such infringement is difficult to prevent or prosecute.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there are numerous publications and other prior art that may be relevant to our patents and may be used to challenge the validity of such patents in litigation or other intellectual property-related proceedings. If such challenges are successful, our patents may be narrowed or found to be invalid and we may lose valuable intellectual property rights. Any of the foregoing could have a material adverse effect on our business, financial conditions and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and other technologies could be narrowed or found invalid or unenforceable if challenged in court or before administrative bodies in the United States or abroad.</w:t>
      </w:r>
    </w:p>
    <w:p>
      <w:pPr>
        <w:pStyle w:val="TextBody"/>
        <w:bidi w:val="0"/>
        <w:spacing w:before="0" w:after="240"/>
        <w:ind w:left="0" w:right="0" w:hanging="0"/>
        <w:jc w:val="left"/>
        <w:rPr>
          <w:rFonts w:ascii="Times New Roman" w:hAnsi="Times New Roman"/>
          <w:sz w:val="20"/>
        </w:rPr>
      </w:pPr>
      <w:r>
        <w:rPr>
          <w:rFonts w:ascii="Times New Roman" w:hAnsi="Times New Roman"/>
          <w:sz w:val="20"/>
        </w:rPr>
        <w:t>If we seek to enforce a patent covering our product candidates or other technologies against a third party, that third party could assert that such patent is invalid or unenforceable. In patent litigation in the United States, challenges to validity or enforceability are commonplace. Grounds for a validity challenge could be an alleged failure to meet any of several statutory requirements, including lack of patentable subject matter, lack of novelty, obviousness, inadequate written description, indefiniteness, or lack of enablement. Grounds for an unenforceability assertion could be an allegation that relevant information was withheld from or a misleading statement was made to the USPTO during prosecution.</w:t>
      </w:r>
    </w:p>
    <w:p>
      <w:pPr>
        <w:pStyle w:val="TextBody"/>
        <w:bidi w:val="0"/>
        <w:spacing w:before="0" w:after="240"/>
        <w:ind w:left="0" w:right="0" w:hanging="0"/>
        <w:jc w:val="left"/>
        <w:rPr>
          <w:rFonts w:ascii="Times New Roman;Times;serif" w:hAnsi="Times New Roman;Times;serif"/>
          <w:sz w:val="20"/>
        </w:rPr>
      </w:pPr>
      <w:r>
        <w:rPr>
          <w:rFonts w:ascii="Times New Roman" w:hAnsi="Times New Roman"/>
          <w:sz w:val="20"/>
        </w:rPr>
        <w:t xml:space="preserve">In addition, third parties may raise claims challenging the validity or enforceability of our patents before administrative bodies in the United States or abroad, even outside the context of litigation. Such mechanisms include preissuance submission of prior art to the USPTO and re-examination, post-grant review, </w:t>
      </w:r>
      <w:r>
        <w:rPr>
          <w:rFonts w:ascii="Times New Roman;font-style:italic" w:hAnsi="Times New Roman;font-style:italic"/>
          <w:i/>
          <w:sz w:val="20"/>
        </w:rPr>
        <w:t>inter partes</w:t>
      </w:r>
      <w:r>
        <w:rPr>
          <w:rFonts w:ascii="Times New Roman;Times;serif" w:hAnsi="Times New Roman;Times;serif"/>
          <w:sz w:val="20"/>
        </w:rPr>
        <w:t xml:space="preserve"> </w:t>
      </w:r>
      <w:r>
        <w:rPr>
          <w:rFonts w:ascii="Times New Roman" w:hAnsi="Times New Roman"/>
          <w:sz w:val="20"/>
        </w:rPr>
        <w:t>review, interference proceedings, derivation proceedings, and equivalent proceedings in foreign jurisdictions (</w:t>
      </w:r>
      <w:r>
        <w:rPr>
          <w:rFonts w:ascii="Times New Roman;font-style:italic" w:hAnsi="Times New Roman;font-style:italic"/>
          <w:i/>
          <w:sz w:val="20"/>
        </w:rPr>
        <w:t>e.g.</w:t>
      </w:r>
      <w:r>
        <w:rPr>
          <w:rFonts w:ascii="Times New Roman" w:hAnsi="Times New Roman"/>
          <w:sz w:val="20"/>
        </w:rPr>
        <w:t>, opposition proceedings). 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An adverse determination in any such submission, proceeding or litigation could reduce the scope of, or invalidate or render unenforceable, our patent rights, allow third parties to commercialize our product candidates or other technologies and compete directly with us, without payment to us.</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the United States, an inventor’s own publication may not be effective prior art to the inventor’s patent application on the same subject matter when published less than one year before the effective filing date of the patent application. Such a publication might be considered prior art in certain jurisdictions that do not provide such a grace period. For those non-US jurisdictions, reliance on non-patent exclusivity may provide sufficient competitive protection to exclude others from commercializing generic versions of our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subject to other claims challenging the inventorship of our patents and other intellectual property.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We may also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do not obtain patent term extension or data exclusivity for any product candidates we may develop, our business may be materially harmed.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commonly referred to as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obtaining, through acquisitions, in-licenses or otherwise, rights that may be necessary to our product candidates or other technologies.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The growth of our business may depend in part on our future ability to acquire or in-license any relevant third-party proprietary rights that we may identify as necessary or important to our business operations.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intellectual property rights held by others. We may be unable to acquire or in-license such third-party intellectual property rights.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misappropriate or otherwise violate intellectual property rights which may entail additional costs and development delays, even if we were able to develop such alternatives, which may not be feasible. Even if we are able to obtain a license to such intellectual property rights, any such license may be non-exclusive, which may allow our competitors access to the same technologies licensed to us.</w:t>
      </w:r>
    </w:p>
    <w:p>
      <w:pPr>
        <w:pStyle w:val="TextBody"/>
        <w:bidi w:val="0"/>
        <w:spacing w:before="0" w:after="240"/>
        <w:ind w:left="0" w:right="0" w:hanging="0"/>
        <w:jc w:val="left"/>
        <w:rPr>
          <w:rFonts w:ascii="Times New Roman" w:hAnsi="Times New Roman"/>
          <w:sz w:val="20"/>
        </w:rPr>
      </w:pPr>
      <w:r>
        <w:rPr>
          <w:rFonts w:ascii="Times New Roman" w:hAnsi="Times New Roman"/>
          <w:sz w:val="20"/>
        </w:rPr>
        <w:t>Additionally, we sometimes collaborate with academic institutions and clinical research organizations to accelerate our research or development under written agreements with these institutions and organizations. In certain cases, these institutions and organizations may own or jointly own with us inventions that are created under such collaborations and provide us with an option to negotiate a license to any of the institution’s rights in such inventions. Regardless of such option, we may be unable to negotiate a license within the specified timeframe or under terms that are acceptable to us. If we are unable to do so, the institution or organization may offer the intellectual property rights to others, potentially blocking our ability to pursue our program and allowing third parties to compete with us.</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third-party intellectual property that may be necessary, we may have to abandon development of such program and our business, results of operations, financial condition and prospects could suffer.</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 and technology.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Recent or future patent reform legislation could increase the uncertainties and costs surrounding the prosecution of our patent applications and the enforcement or defense of our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regardless of whether another inventor had made the invention earlier.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pStyle w:val="TextBody"/>
        <w:bidi w:val="0"/>
        <w:spacing w:before="0" w:after="0"/>
        <w:ind w:left="0" w:right="0" w:hanging="0"/>
        <w:jc w:val="left"/>
        <w:rPr>
          <w:rFonts w:ascii="Times New Roman;Times;serif" w:hAnsi="Times New Roman;Times;serif"/>
          <w:sz w:val="20"/>
        </w:rPr>
      </w:pPr>
      <w:r>
        <w:rPr>
          <w:rFonts w:ascii="Times New Roman" w:hAnsi="Times New Roman"/>
          <w:sz w:val="20"/>
        </w:rPr>
        <w:t xml:space="preserve">The America Invents Act includes a number of other significant changes to U.S. patent law, including provisions that affect the way patent applications are prosecuted, redefine prior art and establish a new post-grant review system. These include allowing third party submission of prior art to the USPTO during patent prosecution and additional procedures to attack the validity of a patent by USPTO-administered post-grant proceedings, including post-grant review, </w:t>
      </w:r>
      <w:r>
        <w:rPr>
          <w:rFonts w:ascii="Times New Roman;font-style:italic" w:hAnsi="Times New Roman;font-style:italic"/>
          <w:i/>
          <w:sz w:val="20"/>
        </w:rPr>
        <w:t>inter partes</w:t>
      </w:r>
      <w:r>
        <w:rPr>
          <w:rFonts w:ascii="Times New Roman;Times;serif" w:hAnsi="Times New Roman;Times;serif"/>
          <w:sz w:val="20"/>
        </w:rPr>
        <w:t xml:space="preserve"> </w:t>
      </w:r>
      <w:r>
        <w:rPr>
          <w:rFonts w:ascii="Times New Roman" w:hAnsi="Times New Roman"/>
          <w:sz w:val="20"/>
        </w:rPr>
        <w:t xml:space="preserve">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party may attempt to use the USPTO procedures to invalidate our patent claims that would not have been invalidated if first challenged by the third party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all of which could have a material adverse effect on our business and financial condition. Accordingly, the America Invents Act and its implementation could increase the uncertainties and costs surrounding the prosecution of our patent applications and the enforcement or defense of our issued patents.</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 consuming and unsuccessful.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Competitors may infringe our patents, or we may be required to defend against claims of infringement. In addition, our patents also may become involved in inventorship, priority, validity or unenforceability disputes. To counter or defend against such claims can be expensive and time consuming. We may not prevail in any lawsuits that we initiate, and the damages or other remedies awarded, if any, may not be commercially meaningful. For example, in an infringement proceeding, a court may decide that a patent owned by us is invalid or unenforceable. There is also the risk that, even if the validity of these patents is upheld, the court will refuse to stop the third party on the ground that such third party’s activities do not infringe our owned patents, including finding that the other party’s use of our patented technology falls under the safe harbor to patent infringement under 35 U.S.C. § 271(e)(1). Even if resolved in our favor, these lawsuits are expensive and would consume time and other resources, including distracting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may not be able to detect infringement against our patents which may be more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pStyle w:val="TextBody"/>
        <w:bidi w:val="0"/>
        <w:spacing w:before="0" w:after="0"/>
        <w:ind w:left="0" w:right="0" w:hanging="0"/>
        <w:jc w:val="left"/>
        <w:rPr>
          <w:rFonts w:ascii="Times New Roman;Times;serif" w:hAnsi="Times New Roman;Times;serif"/>
          <w:sz w:val="20"/>
        </w:rPr>
      </w:pPr>
      <w:r>
        <w:rPr>
          <w:rFonts w:ascii="Times New Roman" w:hAnsi="Times New Roman"/>
          <w:sz w:val="20"/>
        </w:rPr>
        <w:t xml:space="preserve">If another party questions the patentability of any of our claims in our U.S. patents, the third party can request that the USPTO review the patent claims such as in an </w:t>
      </w:r>
      <w:r>
        <w:rPr>
          <w:rFonts w:ascii="Times New Roman;font-style:italic" w:hAnsi="Times New Roman;font-style:italic"/>
          <w:i/>
          <w:sz w:val="20"/>
        </w:rPr>
        <w:t>inter partes</w:t>
      </w:r>
      <w:r>
        <w:rPr>
          <w:rFonts w:ascii="Times New Roman;Times;serif" w:hAnsi="Times New Roman;Times;serif"/>
          <w:sz w:val="20"/>
        </w:rPr>
        <w:t xml:space="preserve"> </w:t>
      </w:r>
      <w:r>
        <w:rPr>
          <w:rFonts w:ascii="Times New Roman" w:hAnsi="Times New Roman"/>
          <w:sz w:val="20"/>
        </w:rPr>
        <w:t xml:space="preserve">review, </w:t>
      </w:r>
      <w:r>
        <w:rPr>
          <w:rFonts w:ascii="Times New Roman;font-style:italic" w:hAnsi="Times New Roman;font-style:italic"/>
          <w:i/>
          <w:sz w:val="20"/>
        </w:rPr>
        <w:t>ex parte</w:t>
      </w:r>
      <w:r>
        <w:rPr>
          <w:rFonts w:ascii="Times New Roman;Times;serif" w:hAnsi="Times New Roman;Times;serif"/>
          <w:sz w:val="20"/>
        </w:rPr>
        <w:t xml:space="preserve"> </w:t>
      </w:r>
      <w:r>
        <w:rPr>
          <w:rFonts w:ascii="Times New Roman" w:hAnsi="Times New Roman"/>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foreign patents are challenged. The costs of these opposition or similar proceedings could be substantial, and may result in a loss of scope of some claims or a loss of the entire patent. An unfavorable result at the USPTO, EPO or other patent office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result in the loss of our right to exclude others from practicing one or more of our inventions in the relevant country or jurisdiction, which could have a material adverse effect on our business.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sued for infringing, misappropriating or otherwise violating patents or other intellectual property rights of third parties, it will be costly and time consuming, and an unfavorable outcome in that litigation would have a material adverse effect on our business.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Our commercial success depends upon our ability to develop, manufacture, market and sell our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We may be exposed to, or threatened with, future litigation by third parties having patent or other intellectual property rights alleging that our product candidates and/or proprietary technologies infringe, misappropriate or otherwise violate their intellectual property rights. We cannot guarantee that our product candidates and other technologies that we have developed, are developing or may develop in the future will not infringe existing or future patents owned by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It is also possible that patents owned by third parties of which we are aware, but which we do not believe are relevant to our product candidates or other technologies, could be found to be infringed by our product candidates or other technologies.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be required to obtain rights to such patents owned by third parties which may not be available on commercially reasonable terms or at all, or may only be available on a non-exclusive basis.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If a third party claims that we infringe its intellectual property rights, we may face a number of issues even if we believe such claims are without merit,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and other intellectual property claims which, regardless of merit, may be expensive and time-consuming to litigate, may divert our management’s attention from our core business and may impact our reputation;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prohibiting us from developing, manufacturing, marketing or selling our product candidates or from using our proprietary technologies, unless the third party licenses its patent rights to us, which it is not required to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license is available from a third party, we may have to pay substantial royalties, upfront fees and other amounts, and/or grant cross-licenses to intellectual property rights for our product candidates or such license is only available on a non-exclusive basis;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redesigning our product candidates or processes so they do not infringe, which may not be possible or may require substantial monetary expenditures and time.</w:t>
            </w:r>
          </w:p>
        </w:tc>
      </w:tr>
    </w:tbl>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our operations or could otherwise have a material adverse effect on our business, results of operations, financial condition and prospects. The occurrence of any of the foregoing could have a material adverse effect on our business, financial condition, results of operations or growth prospects.</w:t>
      </w:r>
    </w:p>
    <w:p>
      <w:pPr>
        <w:pStyle w:val="TextBody"/>
        <w:bidi w:val="0"/>
        <w:spacing w:before="0" w:after="240"/>
        <w:ind w:left="0" w:right="0" w:hanging="0"/>
        <w:jc w:val="left"/>
        <w:rPr>
          <w:rFonts w:ascii="Times New Roman;Times;serif" w:hAnsi="Times New Roman;Times;serif"/>
          <w:sz w:val="20"/>
        </w:rPr>
      </w:pPr>
      <w:r>
        <w:rPr>
          <w:rFonts w:ascii="Times New Roman" w:hAnsi="Times New Roman"/>
          <w:sz w:val="20"/>
        </w:rPr>
        <w:t xml:space="preserve">We may choose to challenge the patentability of claims in a third party’s U.S. patent by requesting that the USPTO review the patent claims in an </w:t>
      </w:r>
      <w:r>
        <w:rPr>
          <w:rFonts w:ascii="Times New Roman;font-style:italic" w:hAnsi="Times New Roman;font-style:italic"/>
          <w:i/>
          <w:sz w:val="20"/>
        </w:rPr>
        <w:t>ex-parte</w:t>
      </w:r>
      <w:r>
        <w:rPr>
          <w:rFonts w:ascii="Times New Roman;Times;serif" w:hAnsi="Times New Roman;Times;serif"/>
          <w:sz w:val="20"/>
        </w:rPr>
        <w:t xml:space="preserve"> </w:t>
      </w:r>
      <w:r>
        <w:rPr>
          <w:rFonts w:ascii="Times New Roman" w:hAnsi="Times New Roman"/>
          <w:sz w:val="20"/>
        </w:rPr>
        <w:t xml:space="preserve">re-exam, </w:t>
      </w:r>
      <w:r>
        <w:rPr>
          <w:rFonts w:ascii="Times New Roman;font-style:italic" w:hAnsi="Times New Roman;font-style:italic"/>
          <w:i/>
          <w:sz w:val="20"/>
        </w:rPr>
        <w:t>inter partes</w:t>
      </w:r>
      <w:r>
        <w:rPr>
          <w:rFonts w:ascii="Times New Roman;Times;serif" w:hAnsi="Times New Roman;Times;serif"/>
          <w:sz w:val="20"/>
        </w:rPr>
        <w:t xml:space="preserve"> </w:t>
      </w:r>
      <w:r>
        <w:rPr>
          <w:rFonts w:ascii="Times New Roman" w:hAnsi="Times New Roman"/>
          <w:sz w:val="20"/>
        </w:rPr>
        <w:t>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with patents throughout the world.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Filing, prosecuting and defending patents on all of our product candidates throughout the world would be prohibitively expensive, and the laws of some foreign countries may not protect our rights to the same extent as the laws of the United States.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to enforce our intellectual property rights or proceedings by third parties to challenge the scope or validity of our patent rights in foreign jurisdictions could result in substantial cost and divert our efforts and attention from other aspects of our business and could put our patents at risk of being invalidated or interpreted narrowly.</w:t>
      </w:r>
    </w:p>
    <w:p>
      <w:pPr>
        <w:pStyle w:val="TextBody"/>
        <w:bidi w:val="0"/>
        <w:spacing w:before="0" w:after="240"/>
        <w:ind w:left="0" w:right="0" w:hanging="0"/>
        <w:jc w:val="left"/>
        <w:rPr>
          <w:rFonts w:ascii="Times New Roman" w:hAnsi="Times New Roman"/>
          <w:sz w:val="20"/>
        </w:rPr>
      </w:pPr>
      <w:r>
        <w:rPr>
          <w:rFonts w:ascii="Times New Roman" w:hAnsi="Times New Roman"/>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growth prospects may be adversely affected.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USPTO and various foreign governmental patent agencies require compliance with a number of procedural, documentary, fee payment and other provisions during the patent prosecution process and following the issuance of a patent. In some cases, an inadvertent failure to comply with such requirements can be cured by payment of a late fee or by other means in accordance with the applicable rules. There are situations, however, in which non-compliance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consultants or advisors or we have inadvertently or otherwise used or disclosed trade secrets or other proprietary information of their current or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Confidentiality agreements with employees and third parties may not prevent unauthorized disclosure of trade secrets and other proprietary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platform technology and discovery and development processes that involve proprietary know-how, information or technology that is not covered by patents. However, trade secrets can be difficult to protect and we have limited control over the protection of trade secrets used by our collaborators and suppliers. Although we seek to protect our proprietary technology and processes, in part, by entering into confidentiality agreements with parties who have access them, such as our employees, consultants, and outside scientific advisors, contractors and collaborators, we cannot guarantee that we have entered into such agreements with each party that may have or have had access to our trade secrets or proprietary technology and processes. Despite our efforts,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Moreover, our competitors or other third parties may independently develop equivalent knowledge, methods and know-how.</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Enforcing a claim that a third party illegally obtained and is using any of our trade secrets is expensive and time consuming, and the outcome is unpredictable. In addition, courts inside and outside the United States sometimes are less willing or unwilling to protect trade secrets. If we choose to go to court to stop a third party from using any of our trade secrets, we may incur substantial costs. These lawsuits may consume our time and other resources even if we are successful. If any of our trade secrets were determined to be lawfully obtained or independently developed by a competitor or other third party, we may not be able to prevent them from using that technology or information to compete with us. If any of our trade secrets were to be disclosed to or independently developed by a competitor or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third party, our competitive position, business, results of operations and prospects would be materially and adversely harmed.</w:t>
      </w:r>
    </w:p>
    <w:p>
      <w:pPr>
        <w:pStyle w:val="TextBody"/>
        <w:bidi w:val="0"/>
        <w:spacing w:before="40" w:after="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or use compounds that are similar to the pharmaceutical compounds used in our product candidates but that are not covered by the claims of our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APIs in our current product candidates will eventually become commercially available in generic drug products, and no patent protection may be available with regard to formulation or method of use;</w:t>
            </w:r>
          </w:p>
        </w:tc>
      </w:tr>
    </w:tbl>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future licensors or collaborators, might not have been the first to file patent applications for these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future licensors or collaborators, might not have been the first to make the inventions covered by our issued patents or pending patent applications;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current or future pending or licensed patent applications will not result in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public disclosures or publications, including disclosures or publications made by us, could be used in an attempt to invalidate our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hold rights to may be held invalid or unenforceable, including as a result of legal challenges by our competitors or other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others may circumvent our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unpublished applications or patent applications maintained in secrecy that may later issue with claims covering our products or technology similar to ours;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foreign countries may not protect our proprietary rights to the same extent as the laws of the United States;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our issued patents or patent applications, if and when issued, may not cover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issued patents may not provide us with any competitive advantages, may be narrowed in scope, or be held invalid or unenforceable as a result of legal challenges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 of our patents or patent applications may become involved with competitors, develop products or processes which design around our patents, or become hostile to us or the patents or patent applications on which they are named as inventors;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scientific collaborations in the past and will continue to do so in the future. Such collaborators may develop adjacent or competing products to ours that are outside the scope of our patents;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for which we can obtain patent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pursue patent protection in order to maintain certain trade secrets or know-how, and a third party may subsequently obtain a patent covering such intellectual property;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product candidates or diagnostic tests we develop may be covered by third parties’ patents or other exclusive rights; or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Should any of these events occur, they could have a material adverse effect on our business, financial condition, results of operations and growth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trademarks, brand names and trade names are not adequately protected or available, then we may not be able to build name recognition in our markets of interest and our business may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regulatory and marketing approval and other legal compliance matters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never obtained marketing approval for a product candidate and we may be unable to obtain, or may be delayed in obtaining, marketing approval for any of our product candidates.*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never obtained marketing approval for a product candidate. 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extraneous factors, including an epidemic or pandemic disease outbreak, or other public health situations, could impact the timeline for FDA and comparable foreign regulatory authorities to review an application for one of our product candidates. It is possible that the FDA and comparable foreign regulatory authorities may refuse to accept for filing and substantive review any new drug applications, or NDAs, marketing authorization applications, or MAA, that we submit for our product candidates or may conclude after review of our data that our application is insufficient to obtain marketing approval of our product candidates. If the FDA, or comparable foreign regulatory authorities do not accept or approve our NDAs or MAAs for our product candidates, it may require that we conduct additional clinical, nonclinical or manufacturing validation studies and submit that data before it will reconsider our applications. Depending on the extent of these or any other regulatory authority-required studies, approval of any NDA, MAA or other application that we submit may be delayed by several years, or may require us to expend more resources than we have available. It is also possible that additional studies, if performed and completed, may not be considered sufficient by the FDA or comparable foreign regulatory authorities to approve our NDAs or our MAAs. </w:t>
      </w:r>
    </w:p>
    <w:p>
      <w:pPr>
        <w:pStyle w:val="TextBody"/>
        <w:bidi w:val="0"/>
        <w:spacing w:before="0" w:after="0"/>
        <w:ind w:left="0" w:right="0" w:hanging="0"/>
        <w:jc w:val="left"/>
        <w:rPr>
          <w:rFonts w:ascii="Times New Roman" w:hAnsi="Times New Roman"/>
          <w:sz w:val="20"/>
        </w:rPr>
      </w:pPr>
      <w:r>
        <w:rPr>
          <w:rFonts w:ascii="Times New Roman" w:hAnsi="Times New Roman"/>
          <w:sz w:val="20"/>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complete the necessary preclinical studies and clinical trials, the marketing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research, testing, manufacturing, labeling, approval, selling, marketing, promotion and distribution of drugs are subject to extensive regulation by the FDA and comparable foreign regulatory authorities, whose laws and regulations may differ from country to country. We, and any future collaborators, are not permitted to market our product candidates in the United States or in other countries until we or they receive approval of an NDA from the FDA or marketing approval from comparable foreign regulatory authorities. Our product candidates are in early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comparable foreign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pStyle w:val="TextBody"/>
        <w:bidi w:val="0"/>
        <w:spacing w:before="0" w:after="240"/>
        <w:ind w:left="0" w:right="0" w:hanging="0"/>
        <w:jc w:val="left"/>
        <w:rPr>
          <w:rFonts w:ascii="Times New Roman" w:hAnsi="Times New Roman"/>
          <w:sz w:val="20"/>
        </w:rPr>
      </w:pPr>
      <w:r>
        <w:rPr>
          <w:rFonts w:ascii="Times New Roman" w:hAnsi="Times New Roman"/>
          <w:sz w:val="20"/>
        </w:rPr>
        <w:t>Our product candidates could fail to receive marketing approval, or marketing approval for our product candidates could be limited or delayed,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an NDA or other submission and applications or to obtain marketing approval in the United States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the manufacturing processes or facilities of third-party manufacturers with which we contract for clinical and commercial supplies;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any companion diagnostics that may be required in connection with approval of our therapeutic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the applicable foreign regulatory agency may fail to approve the formulation, labeling and/or the specifications for our product candidate;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marketing approval policies during the development period, changes in or the enactment or promulgation of additional statutes, regulations or guidance or changes in regulatory review for each submitted drug application;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collaborate successfully with third parties as needed for the potential development of ATRN-119 in combinations.</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This lengthy approval process as well as the unpredictability of clinical trial results may result in our failing to obtain marketing approval to market APR-1051, which would significantly harm our business, results of operations and prospects. Regulatory authorities have substantial discretion in the approval process and may refuse to accept any application or may decide that our data are insufficient for approval and require additional preclinical studies, clinical trials or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order to market and sell our product candidates in the EU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pStyle w:val="TextBody"/>
        <w:bidi w:val="0"/>
        <w:spacing w:before="0" w:after="0"/>
        <w:ind w:left="0" w:right="0" w:hanging="0"/>
        <w:jc w:val="left"/>
        <w:rPr>
          <w:rFonts w:ascii="Times New Roman" w:hAnsi="Times New Roman"/>
          <w:sz w:val="20"/>
        </w:rPr>
      </w:pPr>
      <w:r>
        <w:rPr>
          <w:rFonts w:ascii="Times New Roman" w:hAnsi="Times New Roman"/>
          <w:sz w:val="20"/>
        </w:rPr>
        <w:t>The U.K. having left the EU, the TCA and the Northern Ireland Protocol is likely to continue to affect European and worldwide economic conditions and could contribute to greater instability in the global financial markets. These effects could have an adverse effect on our business, investments, and future operations in Europe. There is a risk that trade between U.K. and EU businesses will be materially adversely affected, particularly in relation to highly regulated products such as pharmaceuticals and products of animal-origin, due to the additional regulatory burdens being imposed on exporters/importers which may affect the availability of these products.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consequences for the economies of the U.K. and the EU member states as a result of the U.K.’s withdrawal from the EU are still largely unknown and unpredictable. Given the lack of comparable precedent, it is unclear what the broader macro-economic and financial implications the U.K. having left the EU will have.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or any future collaborators, may not be able to obtain or maintain orphan drug exclusivity for our product candidates and, even if we do, that exclusivity may not prevent the FDA or the European Commission from approving competing products.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Regulatory authorities in some jurisdictions, including the United States and the EU, may designate drugs for relatively small patient populations as orphan drugs. Under the Orphan Drug Act, the FDA may designate a product as an orphan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the United States, orphan drug designation entitles a party to financial incentives such as opportunities for grant funding towards clinical trial costs, tax advantages and user-fee waivers. In addition, the company that obtains the first FDA approval for a designated orphan drug for a rare disease receives marketing exclusivity for use of that drug for the designated condition for a period of seven years. Once a product receives orphan drug exclusivity, a second product that is considered to be the same drug for the same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w:t>
      </w:r>
    </w:p>
    <w:p>
      <w:pPr>
        <w:pStyle w:val="TextBody"/>
        <w:bidi w:val="0"/>
        <w:spacing w:before="0" w:after="0"/>
        <w:ind w:left="0" w:right="0" w:hanging="0"/>
        <w:jc w:val="left"/>
        <w:rPr>
          <w:rFonts w:ascii="Times New Roman" w:hAnsi="Times New Roman"/>
          <w:sz w:val="20"/>
        </w:rPr>
      </w:pPr>
      <w:r>
        <w:rPr>
          <w:rFonts w:ascii="Times New Roman" w:hAnsi="Times New Roman"/>
          <w:sz w:val="20"/>
        </w:rPr>
        <w:t>The European Commission can grant orphan drug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it must be established that there is no other satisfactory method approved in the European Union of diagnosing, preventing or treating the condition, or if such a method exists, the proposed orphan drug will be of significant benefit to patients. Orphan drug designation is not a marketing authorization. It is a designation that provides a number of benefits, including fee reductions, regulatory assistance, and the possibility to apply for a centralized EU marketing authorization, as well as 10 years of market exclusivity following a marketing authorization. During this market exclusivity period, neither the EMA nor the European Commission nor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 or otherwise clinically superior to our product. Our product can lose orphan designation, and the related benefits, prior to us obtaining a marketing authorization if it is demonstrated that the orphan designation criteria are no longer met.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drug products. If this happens, marketing approval for our product candidate may be delayed due to the first-approved product’s orphan drug exclusivity, unless we demonstrate clinical superiority. We may not be able to demonstrate that our product is clinically superior to a first-approved product with orphan drug exclusivity, i.e., that it provides greater safety or efficacy or a major contribution to patient care.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In the United States, Congress is also considering updates to the orphan drug provisions of the FDCA in response to a recent 11th Circuit decision. Any changes to the orphan drug provisions could change our opportunities for, or likelihood of success in obtaining, orphan drug exclusivity and could materially adversely affect our business, financial condition, results of operations, cash flows and prospects.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or any collaborators we may have in the future, obtain marketing approvals for our product candidates, the terms of approvals and ongoing regulation of our product candidates could require substantial expenditure of resources and may limit how we, or they, manufacture and market our product candidates, which could materially impair our ability to generate revenue.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Once marketing approval has been granted, an approved drug and its manufacturer and marketer are subject to ongoing review and extensive regulation. These requirements include submissions of safety and other post-marketing information and reports, user fee requirements,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FDA or comparable foreign regulatory authorities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REMS or comparable foreign equivalents, like the EU Risk Management Plan, or RMP, which could include requirements for a restricted distribution system. Manufacturers of approved drugs and those manufacturers’ facilities are also required to comply with extensive FDA or comparable foreign regulatory authorities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or comparable foreign regulatory authorities to monitor and ensure compliance with cGMPs.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Accordingly, assuming we, or our future collaborators, receive marketing approval for one or more of our product candidates, we, and our future collaborators, and our and their contract manufacturers will continue to expend time, money and effort in all areas of regulatory compliance, including manufacturing, production, product surveillance and quality control.</w:t>
      </w:r>
    </w:p>
    <w:p>
      <w:pPr>
        <w:pStyle w:val="TextBody"/>
        <w:bidi w:val="0"/>
        <w:spacing w:before="0" w:after="240"/>
        <w:ind w:left="0" w:right="0" w:hanging="0"/>
        <w:jc w:val="left"/>
        <w:rPr>
          <w:rFonts w:ascii="Times New Roman" w:hAnsi="Times New Roman"/>
          <w:sz w:val="20"/>
        </w:rPr>
      </w:pPr>
      <w:r>
        <w:rPr>
          <w:rFonts w:ascii="Times New Roman" w:hAnsi="Times New Roman"/>
          <w:sz w:val="20"/>
        </w:rPr>
        <w:t>If we, and our future collaborators, are not able to comply with post-approval regulatory requirements, regulatory agencies or enforcement authorities may:</w:t>
      </w:r>
    </w:p>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civil or criminal penalties;</w:t>
            </w:r>
          </w:p>
        </w:tc>
      </w:tr>
    </w:tbl>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regulatory approval;</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of our ongoing clinical trials;</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to approved applications submitted by us or our collaborators;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restrictions on our operations, including closing our or our collaborators’ manufacturing facilities; or</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products or require a recall.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 Moreover, our or our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FDA’s and other comparable regulatory authorities’ policies may change and additional government regulations may be enacted that could prevent, limit or delay regulatory approval of our product candidates, which would impact our ability to generate revenue.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also cannot predict the likelihood, nature or extent of government regulation that may arise from future legislation or administrative or executive action, either in the United States or abroad. The policies of the FDA and of comparable foreign regulatory authorities may change and additional government regulations may be enacted that could prevent, limit or delay regulatory licensure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licensure that we may have obtained and we may not achieve or sustain profitability. If these actions impose constraints on FDA’s ability to engage in oversight and implementation activities in the normal course, our business may be negatively impacted.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Any of our product candidates for which we, or our future collaborators, obtain marketing approval in the future will be subject to substantial penalties if we, or they, fail to comply with regulatory requirements or if we, or they, experience unanticipated problems with our product candidates following approval.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Any of our product candidates for which we, or our future collaborators, obtain marketing approval in the future, will be subject to continual review by the FDA or comparable foreign regulatory authorities.</w:t>
      </w:r>
    </w:p>
    <w:p>
      <w:pPr>
        <w:pStyle w:val="TextBody"/>
        <w:bidi w:val="0"/>
        <w:spacing w:before="0" w:after="240"/>
        <w:ind w:left="0" w:right="0" w:hanging="0"/>
        <w:jc w:val="left"/>
        <w:rPr>
          <w:rFonts w:ascii="Times New Roman" w:hAnsi="Times New Roman"/>
          <w:sz w:val="20"/>
        </w:rPr>
      </w:pPr>
      <w:r>
        <w:rPr>
          <w:rFonts w:ascii="Times New Roman" w:hAnsi="Times New Roman"/>
          <w:sz w:val="20"/>
        </w:rPr>
        <w:t>For example, in the United States, 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future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addition, later discovery of previously unknown adverse events or other problems with our product candidates or their manufacturers or manufacturing processes, or failure to comply with regulatory requirements, may yield various results, including:</w:t>
      </w:r>
    </w:p>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patients taking our drug;</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such drugs, manufacturers or manufacturing processes;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a drug;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drug distribution or use;</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drugs from the market;</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drugs;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relationships with any potential collaborators;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coverage by third-party payors;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press coverage and damage to our reputation;</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drugs;</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4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enacted and future legislation, and any change in existing government regulations and policies, may increase the difficulty and cost for us and our future collaborators to obtain marketing approval of and commercialize our product candidates and affect the prices we, or they, may obtain.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the United States, the Congress and recent presidential administrations have enacted or are considering a number of legislative and regulatory proposals to change the healthcare system in ways that could affect our ability to sell our products, if approved, and to do so effectively. Among policy makers and payors in the United States and elsewhere, there is significant interest in promoting changes in healthcare systems with the stated goals of containing healthcare costs, improving quality and expanding access.</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the United States, the pharmaceutical industry has been a particular focus of efforts to reform the healthcare system and has been significantly affected by major legislative initiatives, including the PPACA, which contains provisions that may potentially affect the profitability of our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pricing program. The framework of the PPACA continues to evolve as a result of executive, legislative, regulatory and administrative developments that have challenged the law and contribute to legal uncertainty that could affect the profitability of our products. See Part I, Item 1, “Government Regulation – U.S. Healthcare Reform” for further information.</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We expect that these and other healthcare reform measures that may be adopted in the future may result in more rigorous coverage criteria and/or new payment methodologies, and place additional downward pressure on the price that we receive for any approved product and/or the level of reimbursement physicians receive for administering any approved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product we might bring to market. Reductions in reimbursement levels and imposition of more rigorous coverage criteria or new payment methodologies may negatively impact the prices we receive or the frequency with which our products are prescribed or administered. Any coverage or reimbursement policies instituted by Medicare or other federal health care programs may result in similar policies from private payors. The implementation of cost containment measures or other healthcare reforms may affect our ability to generate revenue, attain or maintain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 w:hAnsi="Times New Roman"/>
          <w:sz w:val="20"/>
        </w:rPr>
      </w:pPr>
      <w:r>
        <w:rPr>
          <w:rFonts w:ascii="Times New Roman" w:hAnsi="Times New Roman"/>
          <w:sz w:val="20"/>
        </w:rPr>
        <w:t>The pricing of prescription pharmaceuticals is also subject to governmental control outside the United States. In countries outside of the United States,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pStyle w:val="TextBody"/>
        <w:bidi w:val="0"/>
        <w:spacing w:before="0" w:after="200"/>
        <w:ind w:left="0" w:right="0" w:hanging="0"/>
        <w:jc w:val="left"/>
        <w:rPr>
          <w:rFonts w:ascii="Times New Roman" w:hAnsi="Times New Roman"/>
          <w:sz w:val="20"/>
        </w:rPr>
      </w:pPr>
      <w:r>
        <w:rPr>
          <w:rFonts w:ascii="Times New Roman" w:hAnsi="Times New Roman"/>
          <w:sz w:val="20"/>
        </w:rPr>
        <w:t>Legislative and regulatory proposals have also been made to expand post-approval requirements and restrict sales and promotional activities for drug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pStyle w:val="TextBody"/>
        <w:bidi w:val="0"/>
        <w:spacing w:before="0" w:after="200"/>
        <w:ind w:left="0" w:right="0" w:hanging="0"/>
        <w:jc w:val="left"/>
        <w:rPr>
          <w:rFonts w:ascii="Times New Roman" w:hAnsi="Times New Roman"/>
          <w:sz w:val="20"/>
        </w:rPr>
      </w:pPr>
      <w:r>
        <w:rPr>
          <w:rFonts w:ascii="Times New Roman" w:hAnsi="Times New Roman"/>
          <w:sz w:val="20"/>
        </w:rPr>
        <w:t>Regulatory proposals have been made to allow the importation of prescription drugs into the United States that are approved for marketing in Canada, and potentially other countries. If such proposal are implemented, and if any of our product candidates or other similar or equivalent drug products are approved in another ex-US jurisdiction, these regulatory proposals may impact the competition our product may face, if approved. We cannot be sure whether additional legislative changes will be enacted, or whether the FDA regulations, guidance or interpretations will be changed, or what the impact of such changes on the marketing approvals of our product candidates, if any, may be.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seek a breakthrough therapy designation for APR-1051 or ATRN-119, or one or more of our other product candidates, but we might not receive such designation, and even if we do, such designation may not lead to a faster development or regulatory review or approval process.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seek a breakthrough therapy designation for APR-1051, ATRN-119 or one or more of our other product candidates. A breakthrough therapy is defined as a drug that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 and parts of the NDA may be submitted and reviewed on a rolling basis</w:t>
      </w:r>
      <w:r>
        <w:rPr>
          <w:rFonts w:ascii="Times New Roman" w:hAnsi="Times New Roman"/>
          <w:sz w:val="20"/>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 For example, in June 2022, FDA published a draft guidance document outlining considerations for the Agency in rescinding Breakthrough Therapy designation for products that no longer meet the requirements for that designation.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 fast track designation by the FDA for APR-1051, ATRN-119, or any of our other product candidates may not actually lead to a faster development or regulatory review or approval process.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If a drug is intended, whether alone or in combination with one or more other drugs, for the treatment of a serious or life-threatening condition and nonclinical or clinical data demonstrate the potential to address unmet medical need for this </w:t>
      </w:r>
    </w:p>
    <w:p>
      <w:pPr>
        <w:pStyle w:val="TextBody"/>
        <w:bidi w:val="0"/>
        <w:spacing w:before="0" w:after="240"/>
        <w:ind w:left="0" w:right="0" w:hanging="0"/>
        <w:jc w:val="left"/>
        <w:rPr>
          <w:rFonts w:ascii="Times New Roman" w:hAnsi="Times New Roman"/>
          <w:sz w:val="20"/>
        </w:rPr>
      </w:pPr>
      <w:r>
        <w:rPr>
          <w:rFonts w:ascii="Times New Roman" w:hAnsi="Times New Roman"/>
          <w:sz w:val="20"/>
        </w:rPr>
        <w:t>condition, a drug sponsor may apply for FDA fast track designation. We may not experience a faster development or regulatory review or approval process for any product candidates, if any, for which we obtain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seek priority review designation for one or more of our product candidates, but we might not receive such designation, and even if we do, such designation may not lead to a faster development or regulatory review or approval process.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60-day filing date,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Although we do not currently have any products on the market, we are subject to a variety of regulatory requirements, including healthcare statutory and regulatory requirements and enforcement by the U.S. federal and state governments and the foreign governments of the countries in which we conduct our business. Even though we are not in a position to make patient referrals and do not bill Medicare, Medicaid, or other government or commercial third-party payors, our relationships with healthcare providers, physicians and third-party payors will subject us to healthcare statutory and regulatory requirements and enforcement by the U.S.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See Part I, Item 1, “Government Regulation – Healthcare Law and Regulation” for more detail.</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employees and consultants may engage in misconduct or other improper activities, including non-compliance with regulatory standards and requirements, which could cause significant liability for us and harm our reputation.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are exposed to the risk of our employees and consultants committing fraud or other misconduct, including intentional failures to comply with FDA regulations or similar regulations of comparable foreign regulatory authorities, provide accurate information to the FDA or comparable foreign regulatory authorities, comply with manufacturing standards we may establish,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 w:hAnsi="Times New Roman"/>
          <w:sz w:val="20"/>
        </w:rPr>
      </w:pPr>
      <w:r>
        <w:rPr>
          <w:rFonts w:ascii="Times New Roman" w:hAnsi="Times New Roman"/>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00"/>
        <w:ind w:left="0" w:right="0" w:hanging="0"/>
        <w:jc w:val="left"/>
        <w:rPr>
          <w:rFonts w:ascii="Times New Roman" w:hAnsi="Times New Roman"/>
          <w:sz w:val="20"/>
        </w:rPr>
      </w:pPr>
      <w:r>
        <w:rPr>
          <w:rFonts w:ascii="Times New Roman" w:hAnsi="Times New Roman"/>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00"/>
        <w:ind w:left="0" w:right="0" w:hanging="0"/>
        <w:jc w:val="left"/>
        <w:rPr>
          <w:rFonts w:ascii="Times New Roman" w:hAnsi="Times New Roman"/>
          <w:sz w:val="20"/>
        </w:rPr>
      </w:pPr>
      <w:r>
        <w:rPr>
          <w:rFonts w:ascii="Times New Roman" w:hAnsi="Times New Roman"/>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If we expand our operations outside of the United States, we must comply with numerous laws and regulations in each jurisdiction in which we plan to operate, such as the applicable anti-bribery, anti-corruption, anti-money laundering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regulations. The creation and implementation of international business practices compliance programs is costly and such programs are difficult to enforce, particularly where reliance on third parties is required.</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240"/>
        <w:ind w:left="0" w:right="0" w:hanging="0"/>
        <w:jc w:val="left"/>
        <w:rPr>
          <w:rFonts w:ascii="Times New Roman" w:hAnsi="Times New Roman"/>
          <w:sz w:val="20"/>
        </w:rPr>
      </w:pPr>
      <w:r>
        <w:rPr>
          <w:rFonts w:ascii="Times New Roman" w:hAnsi="Times New Roman"/>
          <w:sz w:val="20"/>
        </w:rPr>
        <w:t>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are also subject to other laws and regulations governing our international operations, including applicable import and export control regulations, economic sanctions on countries and persons administered or enforced by the U.S. government (including, without limitation, the Office of Foreign Assets Control of the U.S. Department of the Treasury), anti-money laundering laws, customs requirements and currency exchange regulations, collectively referred to as the trade control laws. We can provide no assurance that we will be completely effective in ensuring our compliance with all applicable legal requirements, including trade control laws. If we are not in compliance with applicable trade control laws, we may be subject to criminal and civil penalties, disgorgement and other sanctions and remedial measures, and legal expenses, which could have an adverse impact on our business, results of operations, financial condition and prospects. Likewise, any investigation of any potential violations of these trade control laws by U.S. or other authorities could also have an adverse impact on our reputation, our business, results of operations, financial condition and prospects.</w:t>
      </w:r>
    </w:p>
    <w:p>
      <w:pPr>
        <w:pStyle w:val="TextBody"/>
        <w:bidi w:val="0"/>
        <w:spacing w:before="0" w:after="240"/>
        <w:ind w:left="0" w:right="0" w:hanging="0"/>
        <w:jc w:val="left"/>
        <w:rPr>
          <w:rFonts w:ascii="Times New Roman" w:hAnsi="Times New Roman"/>
          <w:sz w:val="20"/>
        </w:rPr>
      </w:pPr>
      <w:r>
        <w:rPr>
          <w:rFonts w:ascii="Times New Roman" w:hAnsi="Times New Roman"/>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Security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In the ordinary course of our business, we collect and store sensitive data, including personally identifiable information, intellectual property and proprietary business information owned or controlled by ourselves and other parties. We manage and maintain our applications and data utilizing a combination of on-site systems, managed data centers and cloud-based data centers. We utilize external security and infrastructure vendors to manage our information technology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systems and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or disruptions to our IT systems, inappropriate use or disclosure of protected information, inappropriate modification, and the risk of our being unable to adequately monitor, audit and modify our controls over our critical information. This risk extends to the third-party vendors and subcontractors we use to manage this sensitive data.</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secure processing, storage, maintenance and transmission of this critical information are vital to our operations and business strategy. Although we take measures to protect sensitive data from unauthorized access, use or disclosure, including the development of policies and procedures to protect our information technology systems and confidential and proprietary information, there is no guarantee we can protect our data from data security incidents, and our information technology and infrastructure may be vulnerable to attacks by hackers or viruses or breached due to employee or vendor error, malfeasance or other malicious or inadvertent disruptions from internal or external threats.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HIPAA, HITECH, and regulatory penalties. Notice of breaches must be made to affected individuals, the Secretary of the Department of Health and Human Services, and notice may need to be made to the media or other data protection regulators. Such incidents, and the publicity they may generate, could harm our reputation and our ability to compete. Unauthorized access, loss or dissemination could also damage our reputation or disrupt our operations, including our ability to conduct our analyses, process claims and appeals,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pStyle w:val="TextBody"/>
        <w:bidi w:val="0"/>
        <w:spacing w:before="0" w:after="240"/>
        <w:ind w:left="0" w:right="0" w:hanging="0"/>
        <w:jc w:val="left"/>
        <w:rPr>
          <w:rFonts w:ascii="Times New Roman" w:hAnsi="Times New Roman"/>
          <w:sz w:val="20"/>
        </w:rPr>
      </w:pPr>
      <w:r>
        <w:rPr>
          <w:rFonts w:ascii="Times New Roman" w:hAnsi="Times New Roman"/>
          <w:sz w:val="20"/>
        </w:rPr>
        <w:t>Penalties for violations of these laws vary. For instance, penalties for failure to comply with a requirement of HIPAA and HITECH vary significantly and include civil monetary penalties of up to (as recently adjusted for inflation) $55,910 per violation, not to exceed approximately $1.68 million per calendar year for each provision of HIPAA that is violated and, in certain circumstances, criminal penalties with fines up to $250,000 per violation and/or imprisonment. However, a single breach incident can result in multiple violations, which can lead to significant financial penalties.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pStyle w:val="TextBody"/>
        <w:bidi w:val="0"/>
        <w:spacing w:before="0" w:after="240"/>
        <w:ind w:left="0" w:right="0" w:hanging="0"/>
        <w:jc w:val="left"/>
        <w:rPr>
          <w:rFonts w:ascii="Times New Roman" w:hAnsi="Times New Roman"/>
          <w:sz w:val="20"/>
        </w:rPr>
      </w:pPr>
      <w:r>
        <w:rPr>
          <w:rFonts w:ascii="Times New Roman" w:hAnsi="Times New Roman"/>
          <w:sz w:val="20"/>
        </w:rPr>
        <w:t xml:space="preserve">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Further, as regulatory focus on privacy issues continues to increase and laws and regulations concerning the protection of personal information expand and become more complex, these potential risks to our business could intensify. Moreover, privacy and cybersecurity laws and regulations are evolving, and may continue to add additional compliance costs and legal risks. For example, the California legislature passed the CCPA, which came into effect January 1, 2020. The CCPA requires companies doing business in California to disclose information regarding the collection, use and sharing of a consumer’s personal data, and comply with certain qualified privacy rights requests, including rights to request deletion of or to stop the sale of their personal information. While the CCPA includes certain exemptions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 xml:space="preserve">data protected by HIPAA or in certain research contexts, the law covers a wide range of data we may process in other contexts. The CCPA also permits the imposition of civil penalties and expands existing state security laws by providing a private right of action for consumers in certain circumstances where consumer data is subject to a breach. Interpretations of the CCPA may continue to evolve with regulatory guidance and enforcement actions from the California Attorney General. The CPRA, which expands the CCPA, passed in November 2020. The CPRA will, among other things, impose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That rulemaking process is ongoing. Following the CPRA, Virginia, Colorado, Utah and Connecticut have enacted similar, but not completely consistent, comprehensive privacy legislation that will also go into effect in January and July 2023, respectively. Many other states are considering similar legislation in addition to the consideration of comprehensive privacy legislation at the federal level. If passed, such laws will require additional resources to ensure compliance, and may have potentially conflicting requirements that would make compliance challenging. </w:t>
      </w:r>
    </w:p>
    <w:p>
      <w:pPr>
        <w:pStyle w:val="TextBody"/>
        <w:bidi w:val="0"/>
        <w:spacing w:before="0" w:after="240"/>
        <w:ind w:left="0" w:right="0" w:hanging="0"/>
        <w:jc w:val="left"/>
        <w:rPr>
          <w:rFonts w:ascii="Times New Roman" w:hAnsi="Times New Roman"/>
          <w:sz w:val="20"/>
        </w:rPr>
      </w:pPr>
      <w:r>
        <w:rPr>
          <w:rFonts w:ascii="Times New Roman" w:hAnsi="Times New Roman"/>
          <w:sz w:val="20"/>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have policies and procedures in place, and have conducted an independent third-party audit, to support our compliance with all applicable data protection laws and regulations, and are continually improving our data protection program to address compliance risks and evolving requirements. Nevertheless, our efforts to comply with data protection laws and evaluate as well as oversee our third party vendors’ compliance with data protection laws and our contractual requirements may be insufficient to mitigate all data protection risks or compliance obligations, which could result in regulatory scrutiny, legal liability, reputational risk or operational disruption. Failure by us or by our third-party vendors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or our third-party vendors have violated individuals’ privacy rights, failed to comply with data protection laws, or breached our contractual obligations, even if we or our third-party vendor, as applicable, are not found liable, could be expensive and time consuming to defend and could result in adverse publicity that could harm our business.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Any clinical trial programs we conduct or research collaborations we enter into in the European Economic Area (“EEA”)/UK may subject us to the EU General Data Protection Regulation 2016/679 (the “EU GDPR”) as implemented by countries within the EEA. In addition, where we conduct programs and collaborations in the UK we may be subject to the UK Data Protection Act 2018 and the UK General Data Protection Regulation, (together the “UK GDPR”).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We are subject to the EU GDPR, which applies extra-territorially and implements stringent operational requirements on controllers (e.g., sponsors) and processors (e.g., CROs, laboratories) of personal data. For controllers this includes, for example, high standards for obtaining valid consent from individuals to process their personal data (where consent is the legal ground relied upon), the requirements to provide detailed disclosures to individuals, short timelines for personal data breach notifications to data protection authorities and data subjects, limitations on retention of personal data, additional considerations where processing health data and other “special categories of personal data” and specific obligations where third-party processors are engaged. The EU GDPR also prohibits the international transfer of personal data from the EEA to countries outside of the EEA unless made to a country deemed to have “adequate” data privacy laws by the European Commission or a data transfer mechanism has been put in place. Until recently, one such data transfer mechanism was the EU-US Privacy Shield. However, in July 2020 the Court of Justice of the European Union (“CJEU”) declared the Privacy Shield to be invalid for purposes of international transfers. The CJEU also imposed further restrictions on use of standard contractual clauses (SCCs) (i.e., an EU-style data transfer agreement)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Moreover, new versions of the SCCs (new EU SCCs)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have recently been published requiring additional compliance and implementation efforts. In turn, the findings of the CJEU will have significant implications for cross-border data flows.</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Further, the EU GDPR provides that EU Member States may establish their own laws and regulations further restricting the processing of genetic data, biometric data, health data and other personal data, which could limit our ability to use and share such personal data or could cause our costs to increase. The EU GDPR imposes onerous accountability obligations requiring controllers and processors to maintain a record of their data processing activities and policies and procedures to demonstrate compliance with the EU GDPR. The EU GDPR also grants certain privacy rights to individuals (e.g., the right to access or erase their personal data). While we have established some data protection policies and have a maturing compliance program, additional resources will be needed to fully comply with the EU GDPR, including for evolving regulatory guidance. If our or our vendors’ or service providers’ privacy or data security measures fail to comply with the EU GDPR requirements, we may be subject to litigation, regulatory investigations, enforcement notices requiring us to stop or change the way we use personal data and/or fines of up to 20 million Euros of the total worldwide annual turnover of the preceding financial year, whichever is higher, as well as compensation claims for financial or non-financial loss by affected individuals, negative publicity, reputational harm and a potential loss of business and goodwill. It is possible that these laws may be interpreted and applied in a manner that is inconsistent with our practices.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Relatedly, following the UK’s withdrawal from the EU (i.e., Brexit), the EU GDPR has been implemented in the United Kingdom (as the UK GDPR). The UK GDPR site alongside the UK Data Protection Act 2018 which implements certain derogations in the EU GDPR into UK law. The requirements of the UK GDPR are (at this time) largely aligned with those under the EU GDPR and as such, may lead to similar compliance and operational costs with potential fines for non-compliance of up to £17.5 million or 4% of annual worldwide turnover. As a result, we are potentially exposed to two parallel data protection regimes, each of which authorizes fines and the potential for divergent enforcement actions. It should also be noted that reliance on the new EU SCCs for transfers from the UK requires additional documentation in the form of a UK Addendum.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employee matters and managing growth</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our President and Chief Executive Officer and our Senior Vice President and Chief Financial Officer and to attract, retain and motivate qualified personnel.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are highly dependent on Oren Gilad, Ph.D., our President and Chief Executive Officer and John P. Hamill, our Senior Vice President and Chief Financial Officer, as well as the other principal members of the scientific team. Our agreements with Dr. Gilad and Mr. Hamill do not prevent them from terminating their employment with us at any time. We do not maintain “key person” insurance for any of our executives or other employees. However, the loss of the services of any of these persons could impede the achievement of our research, development and commercialization objectives.</w:t>
      </w:r>
    </w:p>
    <w:p>
      <w:pPr>
        <w:pStyle w:val="TextBody"/>
        <w:bidi w:val="0"/>
        <w:spacing w:before="0" w:after="0"/>
        <w:ind w:left="0" w:right="0" w:hanging="0"/>
        <w:jc w:val="left"/>
        <w:rPr>
          <w:rFonts w:ascii="Times New Roman" w:hAnsi="Times New Roman"/>
          <w:sz w:val="20"/>
        </w:rPr>
      </w:pPr>
      <w:r>
        <w:rPr>
          <w:rFonts w:ascii="Times New Roman" w:hAnsi="Times New Roman"/>
          <w:sz w:val="20"/>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expect to expand our development and regulatory capabilities and potentially our sales and marketing capabilities, and as a result, we may encounter difficulties in managing our growth, which could disrupt our operations.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We expect to experience growth in the number of our employees and the scope of our operations, particularly in the areas of drug development, clinical operations, regulatory affairs and, potentially, sales and marketing. To manage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need to expand our organization, and may experience difficulties in managing this growth, which could disrupt operations.</w:t>
      </w:r>
    </w:p>
    <w:p>
      <w:pPr>
        <w:pStyle w:val="TextBody"/>
        <w:shd w:fill="FFFFFF" w:val="clear"/>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financial performance and our ability to commercialize our product candidates and compete effectively will depend, in part, on our ability to effectively manage any future growth. We expect to hire additional employees for our managerial, clinical, scientific and engineering, operational, manufacturing, sales and marketing teams.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r>
        <w:rPr>
          <w:rFonts w:ascii="Times New Roman" w:hAnsi="Times New Roman"/>
          <w:sz w:val="20"/>
        </w:rPr>
        <w:t>.</w:t>
      </w:r>
    </w:p>
    <w:p>
      <w:pPr>
        <w:pStyle w:val="TextBody"/>
        <w:shd w:fill="FFFFFF" w:val="clear"/>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 w:hAnsi="Times New Roman"/>
          <w:sz w:val="20"/>
        </w:rPr>
      </w:pPr>
      <w:r>
        <w:rPr>
          <w:rFonts w:ascii="Times New Roman" w:hAnsi="Times New Roman"/>
          <w:sz w:val="20"/>
        </w:rPr>
        <w:t>Many of the other pharmaceutical companies that we compete against for qualified personnel and consultants have greater financial and other resources, different risk profiles and a longer history in the industry than us. They also may provide more diverse opportunities and better chances for career advancement. Some of these characteristics may be more appealing to high-quality candidates and consultants than what we have to offer. If we are unable to continue to attract and retain high-quality personnel and consultants, the rate and success at which we can select and develop our product candidates, and our business will be limited.</w:t>
      </w:r>
    </w:p>
    <w:p>
      <w:pPr>
        <w:pStyle w:val="TextBody"/>
        <w:shd w:fill="FFFFFF" w:val="clear"/>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employees, independent contractors,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the risk that our employees and contractors, including principal investigators, consultants, commercial collaborators, service providers and other vendors may engage in fraudulent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federal and state healthcare fraud and abuse and health regulatory laws and other similar foreign fraudulent misconduct laws, or laws that require the true, complete and accurate reporting of financial information or data. Misconduct by these parties may also involve the improper use or misrepresentation of information obtained in the course of clinical trials, which could result in regulatory sanctions and serious harm to our reputation. It is not always possible to identify and deter third-party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financial results, including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r>
        <w:rPr>
          <w:rFonts w:ascii="Times New Roman" w:hAnsi="Times New Roman"/>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tax matters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significant deferred tax assets, which may become devalued if we do not generate sufficient future taxable income, applicable corporate tax rates are reduced or if we experience an ownership change.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 w:hAnsi="Times New Roman"/>
          <w:sz w:val="20"/>
        </w:rPr>
        <w:t>Our total net deferred tax assets as of December</w:t>
      </w:r>
      <w:r>
        <w:rPr>
          <w:rFonts w:ascii="Times New Roman;Times;serif" w:hAnsi="Times New Roman;Times;serif"/>
          <w:sz w:val="20"/>
        </w:rPr>
        <w:t> </w:t>
      </w:r>
      <w:r>
        <w:rPr>
          <w:rFonts w:ascii="Times New Roman" w:hAnsi="Times New Roman"/>
          <w:sz w:val="20"/>
        </w:rPr>
        <w:t>31,</w:t>
      </w:r>
      <w:r>
        <w:rPr>
          <w:rFonts w:ascii="Times New Roman;Times;serif" w:hAnsi="Times New Roman;Times;serif"/>
          <w:sz w:val="20"/>
        </w:rPr>
        <w:t> </w:t>
      </w:r>
      <w:r>
        <w:rPr>
          <w:rFonts w:ascii="Times New Roman" w:hAnsi="Times New Roman"/>
          <w:sz w:val="20"/>
        </w:rPr>
        <w:t>2025 were $56.3 million. Of that amount, $29.5 million relates to gross deferred tax assets in Aprea AB. Our anticipated activities are also expected to result in future significant net operating losses in the United States and Sweden resulting in additional deferred tax assets. Utilization of most deferred tax assets is dependent on generating sufficient future taxable income in the appropriate jurisdiction and/or entity. The company has provided a valuation allowance of $56.3 million on our net deferred tax assets as of December</w:t>
      </w:r>
      <w:r>
        <w:rPr>
          <w:rFonts w:ascii="Times New Roman;Times;serif" w:hAnsi="Times New Roman;Times;serif"/>
          <w:sz w:val="20"/>
        </w:rPr>
        <w:t> </w:t>
      </w:r>
      <w:r>
        <w:rPr>
          <w:rFonts w:ascii="Times New Roman" w:hAnsi="Times New Roman"/>
          <w:sz w:val="20"/>
        </w:rPr>
        <w:t>31,</w:t>
      </w:r>
      <w:r>
        <w:rPr>
          <w:rFonts w:ascii="Times New Roman;Times;serif" w:hAnsi="Times New Roman;Times;serif"/>
          <w:sz w:val="20"/>
        </w:rPr>
        <w:t> </w:t>
      </w:r>
      <w:r>
        <w:rPr>
          <w:rFonts w:ascii="Times New Roman" w:hAnsi="Times New Roman"/>
          <w:sz w:val="20"/>
        </w:rPr>
        <w:t>2025, because, based on all available evidence, it is considered more likely than not that all the recorded deferred tax assets will not be realized in a future period. Additionally, most of our deferred tax assets are determined by reference to applicable corporate income tax rates in Sweden or the United States. Accordingly, in the event of a reduction of any such corporate income tax rates, the carrying value of certain of our deferred tax assets would decrease.</w:t>
      </w:r>
    </w:p>
    <w:p>
      <w:pPr>
        <w:pStyle w:val="TextBody"/>
        <w:bidi w:val="0"/>
        <w:spacing w:before="0" w:after="240"/>
        <w:ind w:left="0" w:right="0" w:hanging="0"/>
        <w:jc w:val="left"/>
        <w:rPr>
          <w:rFonts w:ascii="Times New Roman" w:hAnsi="Times New Roman"/>
          <w:sz w:val="20"/>
        </w:rPr>
      </w:pPr>
      <w:r>
        <w:rPr>
          <w:rFonts w:ascii="Times New Roman" w:hAnsi="Times New Roman"/>
          <w:sz w:val="20"/>
        </w:rPr>
        <w:t>Moreover, our ability to use our net operating losses and other deferred tax assets to offset future taxable income in Sweden and the United States may be significantly limited if we experience an ownership change. For Swedish income tax purposes, an ownership change will generally occur when one, or several shareholders together, acquire shares representing more than 50 percent of the voting power over a five-year period (under special provisions in Chapter 40 of the Swedish Income Tax Act; 1999:1229). Such an ownership change results in the forfeiture of tax losses carried forward exceeding 200 percent of the cost of the change of control. In this calculation, capital contributions to the company prior to the ownership change and in the preceding two years should reduce the cost of the change of control. Due to potential ownership changes under the Swedish Income Tax Act, we may be limited in our ability to realize a tax benefit on our deferred tax assets, whether or not we attain profitability in future years.</w:t>
      </w:r>
    </w:p>
    <w:p>
      <w:pPr>
        <w:pStyle w:val="TextBody"/>
        <w:bidi w:val="0"/>
        <w:spacing w:before="0" w:after="240"/>
        <w:ind w:left="0" w:right="0" w:hanging="0"/>
        <w:jc w:val="left"/>
        <w:rPr>
          <w:rFonts w:ascii="Times New Roman" w:hAnsi="Times New Roman"/>
          <w:sz w:val="20"/>
        </w:rPr>
      </w:pPr>
      <w:r>
        <w:rPr>
          <w:rFonts w:ascii="Times New Roman" w:hAnsi="Times New Roman"/>
          <w:sz w:val="20"/>
        </w:rPr>
        <w:t>For U.S. federal income tax purposes, an ownership change will generally occur when the percentage of our stock (by value) owned by one or more “5 percent shareholders” (as defined in the U.S. Internal Revenue Code of 1986, as amended) has increased by more than 50% over the lowest percentage owned by such shareholders at any time during the prior three years (calculated on a rolling basis). We anticipate that we will incur losses in the United States in the foreseeable future related to our research and development activities. Due to potential ownership changes under Section 382 of the Code, we may be limited in our ability to realize a tax benefit from the use of our deferred tax assets, whether or not we attain profitability in future years. We believe the Merger likely resulted in an ownership change under Section 382 of the Code, and, accordingly, our net operating losses and other deferred tax assets are subject to limitations.</w:t>
      </w:r>
    </w:p>
    <w:p>
      <w:pPr>
        <w:pStyle w:val="TextBody"/>
        <w:bidi w:val="0"/>
        <w:spacing w:before="0" w:after="0"/>
        <w:ind w:left="0" w:right="0" w:hanging="0"/>
        <w:jc w:val="left"/>
        <w:rPr>
          <w:rFonts w:ascii="Times New Roman" w:hAnsi="Times New Roman"/>
          <w:sz w:val="20"/>
        </w:rPr>
      </w:pPr>
      <w:r>
        <w:rPr>
          <w:rFonts w:ascii="Times New Roman" w:hAnsi="Times New Roman"/>
          <w:sz w:val="20"/>
        </w:rPr>
        <w:t>In addition, our ability to utilize any future net operating losses may be limited by Pub. L. 115-97, commonly known as the Tax Cuts and Jobs Act of 2017 (“TCJA”). Under the TCJA, as amended by the CARES Act, the amount of our net operating losses incurred in taxable years beginning after December 31, 2020 that we are permitted to deduct in any taxable year is limited to 80% of our taxable income in such year, where taxable income is determined without regard to the net operating loss deduction itself, while allowing unused net operating losses to be carried forward indefinitely. Under the CARES Act, net operating losses arising in taxable years beginning before January 1, 2021 are not subject to the 80% limitation.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For these reasons, a material devaluation in our deferred tax assets due to insufficient taxable income, lower corporate income tax rates or ownership change would have an adverse effect on our results of operations and financial condition.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subject to current taxation on some of the income of our foreign subsidiaries even absent any cash distributions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Because we hold directly or indirectly all of the shares of our foreign subsidiaries, including Aprea AB, such subsidiaries are treated as controlled foreign corporations (“CFC”) for U.S. federal income tax purposes. For U.S. federal income tax purposes, the Company will therefore need to include in its taxable income each year Aprea AB’s “subpart F income,” and “global intangible low-taxed income”, if any, even if no distributions are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foreign subsidiaries may directly become subject to U.S. federal income tax and be subject to a branch profits tax in the United States, which could reduce our after-tax returns and the value of our shares.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currently intend to conduct substantially all of our businesses and operations in a manner such that our foreign subsidiaries will not be treated as engaged in a trade or business in the United States and will not be subject to additional U.S. income tax or branch profits tax. However, it is not entirely clear when a foreign subsidiary is treated as being engaged in a trade or business in the United States for U.S. federal income tax purposes and travel restrictions may further limit our ability to reduce the risk of our foreign subsidiaries being treated as engaged in a U.S. trade or business. Accordingly, we cannot assure you that the Internal Revenue Service (“IRS”) will not contend, perhaps successfully, that our foreign subsidiaries were engaged in a trade or business in the United States or are subject to more U.S. income tax than they currently incur. A foreign corporation deemed to be so engaged would be subject to U.S. federal income tax, as well as branch profits tax, on its income that is treated as effectively connected with the conduct of that trade or business unless the corporation is entitled to relief under an applicable tax treaty, which is determined on an annual basis.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ongoing effects of the 2017 Tax Cuts and Jobs Act and GILTI could make our results difficult to predict.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Our effective tax rate may fluctuate in the future as a result of the TCJA, which included significant enacted changes in U.S. income tax law many aspects of which are not entirely clear and with respect to which some guidance has not yet been finalized. The enacted tax legislation included, among other new provisions, a reduction in the corporate tax rate, new limitations on the deductibility of net interest, the base erosion and anti-abuse minimum tax and new rules related to the global intangible low-taxed income of our foreign subsidiaries (“GILTI”). GILTI may require us to include in taxable income certain income of our foreign subsidiaries that are CFCs, though we may be eligible to claim foreign tax credits with respect to some of the taxes paid by such subsidiaries. While the U.S. tax authorities issued proposed and final regulations for GILTI, there are still certain aspects of the TCJA that remain unclear. We will continue to review the impact of GILTI and the other changes resulting from the TCJA as further guidance is issued. Any further guidance may result in changes to the interpretations and assumptions we made and actions we may take, which as a result may impact the amounts recorded with respect to international provisions of the TCJA, possibly materially.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U.S. federal income tax law and other jurisdictions could materially adversely affect an investment in our common shares.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It is possible that tax laws in the United States and other jurisdictions will be changed. It remains difficult to predict whether or when there will be any tax law changes or further guidance by the authorities in the U.S. or elsewhere in the world that will have a material adverse effect on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and principal stockholders may have substantial influence over matters submitted to stockholders for approval. This may prevent new investors from influencing significant corporate decisions.*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 w:hAnsi="Times New Roman"/>
          <w:sz w:val="20"/>
        </w:rPr>
        <w:t>As of June</w:t>
      </w:r>
      <w:r>
        <w:rPr>
          <w:rFonts w:ascii="Times New Roman;Times;serif" w:hAnsi="Times New Roman;Times;serif"/>
          <w:sz w:val="20"/>
        </w:rPr>
        <w:t> </w:t>
      </w:r>
      <w:r>
        <w:rPr>
          <w:rFonts w:ascii="Times New Roman" w:hAnsi="Times New Roman"/>
          <w:sz w:val="20"/>
        </w:rPr>
        <w:t>30,</w:t>
      </w:r>
      <w:r>
        <w:rPr>
          <w:rFonts w:ascii="Times New Roman;Times;serif" w:hAnsi="Times New Roman;Times;serif"/>
          <w:sz w:val="20"/>
        </w:rPr>
        <w:t> </w:t>
      </w:r>
      <w:r>
        <w:rPr>
          <w:rFonts w:ascii="Times New Roman" w:hAnsi="Times New Roman"/>
          <w:sz w:val="20"/>
        </w:rPr>
        <w:t>2026, our executive officers and directors and our stockholders which own more than 5% of our outstanding common stock beneficially owned shares representing approximately 20.3% of our common stock. As a result, if these stockholders were to choose to act together, they may have substantial influence over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or other significant corporate decisions, on terms that other stockholders may desire.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Provisions in our certificate of incorporation and our bylaws may discourage, delay or prevent a merger, acquisition or other change in control of us that stockholders may consider favorable, including transactions in which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 w:hAnsi="Times New Roman"/>
          <w:sz w:val="20"/>
        </w:rPr>
      </w:pPr>
      <w:r>
        <w:rPr>
          <w:rFonts w:ascii="Times New Roman" w:hAnsi="Times New Roman"/>
          <w:sz w:val="20"/>
        </w:rPr>
        <w:t>stockholders might otherwise receive a premium for 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classified board of directors such that not all members of the board are elected at one time;</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authorized number of our directors to be changed only by resolution of our board of directors;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manner in which stockholders can remove directors from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stockholder proposals that can be acted on at stockholder meetings and nominations to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stockholder actions must be effected at a duly called stockholder meeting and prohibit actions by our stockholders by written consent;</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who may call stockholder meetings;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approval of the holders of at least 75% of the votes that all our stockholders would be entitled to cast to amend or repeal certain provisions of our charter or bylaws.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securities analysts do not or do not continue to publish research or reports about our business or if they publish negative evaluations of our business, the price of our stock could decline.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The trading market for our common stock is and will rely in part on the research and reports that industry or financial analysts publish about us or our business. If one or more of the analysts who currently cover our business downgrade their evaluations of our business, or in the event we obtain additional coverage and one or more of the new analysts issues an adverse evaluation of our business, the price of our stock could decline. If one or more of these analysts cease to cover our stock, we could lose visibility in the market for our stock, which in turn could cause our stock price to decline.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may continue to be volatile and fluctuate substantially.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Our stock price has been and is likely to continue to be volatile. The stock market in general and the market for pharmaceutical and biotechnology companies in particular have experienced extreme volatility that has often been unrelated to the operating performance of particular companies. As a result of this volatility, our stockholders may not be able to sell our common stock at or above the price they paid for it. The market price for our common stock may be influenced by many factors, including:</w:t>
      </w:r>
    </w:p>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and results of clinical trials of APR-1051 and any of our other product candidates</w:t>
            </w:r>
            <w:r>
              <w:rPr>
                <w:rFonts w:ascii="Times New Roman;Times;serif" w:hAnsi="Times New Roman;Times;serif"/>
                <w:b w:val="false"/>
                <w:i w:val="false"/>
                <w:caps w:val="false"/>
                <w:smallCaps w:val="false"/>
                <w:sz w:val="19"/>
              </w:rPr>
              <w:t>;</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closure of the ABOYA-119 study as we explore ATRN-119 in potential combination approaches;</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regulatory actions with respect to our product candidates or our competitors’ products and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success of existing or new competitive products or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announcements by us or our competitors of significant acquisitions, strategic partnerships, joint ventures, collaborations or capital commitments;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establishment or termination of collaborations for our product candidates or development programs;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failure or discontinuation of any of our development programs;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results of clinical trials of product candidates of our competitors;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regulatory or legal developments in the United States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recruitment or departure of key personnel;</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level of expenses related to any of our product candidates or development programs;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results of our efforts to discover, develop, acquire or in-license additional product candidates or products;</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actual or anticipated changes in estimates as to financial results or development timelines;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announcement or expectation of additional financing efforts;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sales of our common stock by us, our insiders or other stockholders;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variations in our financial results or those of companies that are perceived to be similar to us;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changes in estimates or recommendations by securities analysts, if any, that cover our stock;</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changes in the structure of healthcare payment systems;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market conditions in the pharmaceutical and biotechnology sectors;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general economic, industry and market conditions;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could be subject to securities class action litigation.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and the reduced disclosure requirements applicable to smaller reporting companies may make our common stock less attractive to investors.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As of January 1, 2025, we are no longer an “emerging growth company,” as defined in the Jumpstart Our Business Act of 2012, of the JOBS Act. However, we remain a “smaller reporting company,” as such term is defined in Rule 12b-2 of the Exchange Act, meaning that the market value of our common stock held by non-affiliates is less than $700 million and our annual revenue is less than $100 million during the most recently completed fiscal year. We will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continue to incur increased costs as a result of operating as a public company as we become subject to additional laws, regulations and listing exchange standards, and our management will continue to be required to devote substantial time to new compliance initiatives.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As a public company, and particularly after we no longer are a “smaller reporting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pStyle w:val="TextBody"/>
        <w:bidi w:val="0"/>
        <w:spacing w:before="0" w:after="240"/>
        <w:ind w:left="0" w:right="0" w:hanging="0"/>
        <w:jc w:val="left"/>
        <w:rPr>
          <w:rFonts w:ascii="Times New Roman" w:hAnsi="Times New Roman"/>
          <w:sz w:val="20"/>
        </w:rPr>
      </w:pPr>
      <w:r>
        <w:rPr>
          <w:rFonts w:ascii="Times New Roman" w:hAnsi="Times New Roman"/>
          <w:sz w:val="20"/>
        </w:rPr>
        <w:t>Pursuant to Section 404 of the Sarbanes-Oxley Act of 2002, we are required to furnish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pStyle w:val="TextBody"/>
        <w:bidi w:val="0"/>
        <w:spacing w:before="0" w:after="240"/>
        <w:ind w:left="0" w:right="0" w:hanging="0"/>
        <w:jc w:val="left"/>
        <w:rPr>
          <w:rFonts w:ascii="Times New Roman" w:hAnsi="Times New Roman"/>
          <w:sz w:val="20"/>
        </w:rPr>
      </w:pPr>
      <w:r>
        <w:rPr>
          <w:rFonts w:ascii="Times New Roman" w:hAnsi="Times New Roman"/>
          <w:sz w:val="20"/>
        </w:rPr>
        <w:t>Accounting principles and related pronouncements, implementation guidelines and interpretations we apply to a wide range of matters that are relevant to our business, including, but not limited to, revenue recognition, leases and stock-based compensation, are complex and involve subjective assumptions, estimates and judgments by our management. Changes in accounting pronouncements or their interpretation or changes in underlying assumptions, estimates or judgments by our management could significantly change our reported or expected financial performance.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common stock for the foreseeable future, capital appreciation, if any, of our common stock may be investors’ sole source of gain.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investors’ sole source of gain for the foreseeable future.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 of a substantial number of shares of our common stock by our existing stockholders in the public market could cause our stock price to fall.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bookmarkStart w:id="860" w:name="_Hlk127371401"/>
      <w:bookmarkEnd w:id="860"/>
      <w:r>
        <w:rPr>
          <w:rFonts w:ascii="Times New Roman" w:hAnsi="Times New Roman"/>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officers and employees.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 w:hAnsi="Times New Roman"/>
          <w:sz w:val="20"/>
        </w:rPr>
      </w:pPr>
      <w:r>
        <w:rPr>
          <w:rFonts w:ascii="Times New Roman" w:hAnsi="Times New Roman"/>
          <w:sz w:val="20"/>
        </w:rPr>
        <w:t>Our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under Delaware law, any action asserting a claim of breach of a fiduciary duty owed by any of our directors, officers or employees to our company or our stockholders, any action asserting a claim against us arising pursuant to any provision of the Delaware General Corporation Law or our certificate of incorporation or bylaws, any action asserting a claim against us governed by the internal affairs doctrine, or any other action asserting an “internal corporate claim,” as defined in Section 115 of the Delaware General Corporation Law. These exclusive-forum provisions do not apply to claims under the Securities Act of 1933, as amended, or the Securities Act, or the Exchange Act.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exclusive-forum provision in our certificate of incorporation to be inapplicable or unenforceable in an action, we may incur additional costs associated with resolving the dispute in other jurisdictions, which could harm our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required to meet the Nasdaq Stock Market, or Nasdaq, continued listing requirements and other Nasdaq rules, and if we fail to meet such rules and requirements, we may be subject to delisting. Delisting could negatively affect the price of our common stock, which could make it more difficult for us to sell securities in a future financing or for you to sell our common stock.*</w:t>
      </w:r>
    </w:p>
    <w:p>
      <w:pPr>
        <w:pStyle w:val="TextBody"/>
        <w:bidi w:val="0"/>
        <w:spacing w:before="0" w:after="240"/>
        <w:ind w:left="0" w:right="0" w:hanging="0"/>
        <w:jc w:val="left"/>
        <w:rPr>
          <w:rFonts w:ascii="Times New Roman" w:hAnsi="Times New Roman"/>
          <w:sz w:val="20"/>
        </w:rPr>
      </w:pPr>
      <w:r>
        <w:rPr>
          <w:rFonts w:ascii="Times New Roman" w:hAnsi="Times New Roman"/>
          <w:sz w:val="20"/>
        </w:rPr>
        <w:t xml:space="preserve">We are required to meet the continued listing requirements of Nasdaq and other Nasdaq rules, including those regarding director independence and independent committee requirements, minimum stockholders’ equity, minimum share price and certain other corporate governance requirements.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continued listing standards of Nasdaq applicable to the Nasdaq Capital Market require, among other things, that the minimum price of a listed company’s stock be at or above $1.00. If the minimum bid price is below $1.00 for a period of more than 30 consecutive trading days, the listed company will fail to be in compliance with Nasdaq’s listing rules and, if the listed company does not regain compliance within a 180-day grace period, it may be subject to delisting. In order to regain compliance, the bid price of the listed company’s common stock must close at a price of at least $1.00 per share for a minimum of 10 consecutive trading days within a 180-day grace period. In addition, in July 2026 Nasdaq approved a new rule requiring listed companies to maintain a minimum market value of listed securities (MVLS) of $5 million. If our MLVS falls below this threshold for 30 consecutive business days, we may be subject to delisting proceedings. On January 23, 2026, we received a deficiency letter from Nasdaq notifying us that, for the last 30 consecutive business days, the closing bid price for our common stock was below the minimum $1.00 per share required for continued listing on The Nasdaq Capital Market pursuant to Nasdaq Listing Rule 5550(a)(2). The letter also indicated that, pursuant to Nasdaq Listing Rule 5810(c)(3)(A), we would be afforded 180 calendar days to regain compliance with the bid price requirement. On July 23, 2026, we received a notification letter from Nasdaq informing us that we are eligible for an additional 180 calendar day period, or until January 19, 2027 to regain compliance with the minimum bid price requirement. There can be no assurance that we will regain compliance with the minimum bid price requirement (or, if we do so, that we will maintain compliance with the minimum bid price requirement or any other Nasdaq listing standards).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fail to regain compliance with the minimum bid price requirement, the MLVS requirement or other Nasdaq listing standards,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Delisting could also cause us to pursue eligibility for trading of securities on other markets or exchanges, including the OTC BB or QB markets, or on the OTC “pink sheets.” In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case, our stockholders’ ability to trade, or obtain quotations of the market value of our common stock would be severely limited because of lower trading volumes and transaction delays. These factors could contribute to lower prices and larger spreads in the bid and ask prices of our securities. There can be no assurance that our securities, if delisted from the Nasdaq Capital Market in the future, would be listed on a national securities exchange, a national quotation service, the OTC markets or the pink sheets. Delisting from Nasdaq would also result in negative publicity, make it more difficult for us to raise additional capital, cause us to lose eligibility to register the sale or resale of our shares on Form S-3 and the automatic exemption from registration under state securities laws for exchange-listed securities, adversely affect the market liquidity of our securities, decrease securities analysts’ coverage of us or diminish investor, supplier and employee confidence.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1" w:name="Item2UnregisteredSalesofEquitySecurities"/>
      <w:bookmarkStart w:id="862" w:name="_6a377529_ab06_41d3_906a_1c38840d4f58"/>
      <w:bookmarkEnd w:id="861"/>
      <w:bookmarkEnd w:id="86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had no sales of unregistered equity securities during the three and six months ended June 30, 2026, other than pursuant to transactions previously disclosed in our Current Reports on Form 8-K.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Repurchases of equity securities by the issuer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63" w:name="Item3DefaultsUponSeniorSecurities_753349"/>
      <w:bookmarkStart w:id="864" w:name="_92b50dc6_d0af_4835_bdd7_7bf2b0107246"/>
      <w:bookmarkEnd w:id="863"/>
      <w:bookmarkEnd w:id="864"/>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65" w:name="Item4MineSafetyDisclosures_869418"/>
      <w:bookmarkStart w:id="866" w:name="_f77e4003_fae1_4053_a510_bb6e77770aa6"/>
      <w:bookmarkEnd w:id="865"/>
      <w:bookmarkEnd w:id="866"/>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67" w:name="Item5OtherInformation_682434"/>
      <w:bookmarkStart w:id="868" w:name="_fd07725f_98c8_42c5_85c8_d52f33c62af0"/>
      <w:bookmarkEnd w:id="867"/>
      <w:bookmarkEnd w:id="868"/>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fiscal quarter ended June 30, 2026, none of our directors or officers (as defined in Rule 16a-1(f) under the Exchange Act) adopted, modified or terminated a “Rule 10b5-1 trading arrangement” or a “non-Rule 10b5-1 trading arrangement” (each as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9" w:name="Item6Exhibits_309671"/>
      <w:bookmarkStart w:id="870" w:name="_1b762b1b_e17c_486f_9710_4b521229cb9a"/>
      <w:bookmarkEnd w:id="869"/>
      <w:bookmarkEnd w:id="870"/>
      <w:r>
        <w:rPr>
          <w:rFonts w:ascii="Times New Roman;Times;serif" w:hAnsi="Times New Roman;Times;serif"/>
          <w:b/>
          <w:sz w:val="20"/>
        </w:rPr>
        <w:t>Item 6.  Exhibits.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92"/>
        <w:gridCol w:w="406"/>
        <w:gridCol w:w="9007"/>
      </w:tblGrid>
      <w:tr>
        <w:trPr/>
        <w:tc>
          <w:tcPr>
            <w:tcW w:w="79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51460" cy="29210"/>
                      <wp:effectExtent l="0" t="0" r="0" b="0"/>
                      <wp:wrapNone/>
                      <wp:docPr id="116" name="Frame116"/>
                      <a:graphic xmlns:a="http://schemas.openxmlformats.org/drawingml/2006/main">
                        <a:graphicData uri="http://schemas.microsoft.com/office/word/2010/wordprocessingShape">
                          <wps:wsp>
                            <wps:cNvSpPr txBox="1"/>
                            <wps:spPr>
                              <a:xfrm>
                                <a:off x="0" y="0"/>
                                <a:ext cx="251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8905" cy="175260"/>
                      <wp:effectExtent l="0" t="0" r="0" b="0"/>
                      <wp:wrapNone/>
                      <wp:docPr id="117" name="Frame117"/>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859405" cy="175260"/>
                      <wp:effectExtent l="0" t="0" r="0" b="0"/>
                      <wp:wrapNone/>
                      <wp:docPr id="118" name="Frame118"/>
                      <a:graphic xmlns:a="http://schemas.openxmlformats.org/drawingml/2006/main">
                        <a:graphicData uri="http://schemas.microsoft.com/office/word/2010/wordprocessingShape">
                          <wps:wsp>
                            <wps:cNvSpPr txBox="1"/>
                            <wps:spPr>
                              <a:xfrm>
                                <a:off x="0" y="0"/>
                                <a:ext cx="28594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92" w:type="dxa"/>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406" w:type="dxa"/>
            <w:tcBorders/>
            <w:vAlign w:val="center"/>
          </w:tcPr>
          <w:p>
            <w:pPr>
              <w:pStyle w:val="TableHeading"/>
              <w:bidi w:val="0"/>
              <w:spacing w:before="0" w:after="0"/>
              <w:ind w:left="0" w:right="0" w:hanging="0"/>
              <w:jc w:val="center"/>
              <w:rPr/>
            </w:pPr>
            <w:r>
              <w:rPr/>
              <w:t>​</w:t>
            </w:r>
          </w:p>
        </w:tc>
        <w:tc>
          <w:tcPr>
            <w:tcW w:w="9007" w:type="dxa"/>
            <w:tcBorders/>
            <w:vAlign w:val="center"/>
          </w:tcPr>
          <w:p>
            <w:pPr>
              <w:pStyle w:val="TableHeading"/>
              <w:bidi w:val="0"/>
              <w:spacing w:before="0" w:after="0"/>
              <w:ind w:left="0" w:right="0" w:hanging="0"/>
              <w:jc w:val="center"/>
              <w:rPr/>
            </w:pPr>
            <w:r>
              <w:rPr/>
              <w:t>​</w:t>
            </w:r>
          </w:p>
        </w:tc>
      </w:tr>
      <w:tr>
        <w:trPr/>
        <w:tc>
          <w:tcPr>
            <w:tcW w:w="792"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406" w:type="dxa"/>
            <w:tcBorders>
              <w:bottom w:val="single" w:sz="2" w:space="0" w:color="000000"/>
            </w:tcBorders>
            <w:tcMar>
              <w:bottom w:w="28" w:type="dxa"/>
            </w:tcMar>
            <w:vAlign w:val="center"/>
          </w:tcPr>
          <w:p>
            <w:pPr>
              <w:pStyle w:val="TableHeading"/>
              <w:bidi w:val="0"/>
              <w:spacing w:before="0" w:after="0"/>
              <w:ind w:left="0" w:right="0" w:hanging="0"/>
              <w:jc w:val="left"/>
              <w:rPr/>
            </w:pPr>
            <w:r>
              <w:rPr/>
              <w:t>  ​ ​ ​ ​</w:t>
            </w:r>
          </w:p>
        </w:tc>
        <w:tc>
          <w:tcPr>
            <w:tcW w:w="900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pPr>
            <w:hyperlink w:anchor="apre-20260630xex31d1.htm">
              <w:r>
                <w:rPr>
                  <w:rStyle w:val="InternetLink"/>
                  <w:rFonts w:ascii="Times New Roman;Times;serif" w:hAnsi="Times New Roman;Times;serif"/>
                  <w:b w:val="false"/>
                  <w:i w:val="false"/>
                  <w:caps w:val="false"/>
                  <w:smallCaps w:val="false"/>
                  <w:sz w:val="20"/>
                </w:rPr>
                <w:t>31.1</w:t>
              </w:r>
            </w:hyperlink>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hyperlink w:anchor="apre-20260630xex31d1.htm">
              <w:r>
                <w:rPr>
                  <w:rStyle w:val="InternetLink"/>
                  <w:rFonts w:ascii="Times New Roman;Times;serif" w:hAnsi="Times New Roman;Times;serif"/>
                  <w:b w:val="false"/>
                  <w:i w:val="false"/>
                  <w:caps w:val="false"/>
                  <w:smallCaps w:val="false"/>
                  <w:sz w:val="20"/>
                </w:rPr>
                <w:t>Certification of the Registrant’s Chief Executive Officer pursuant to Section 302 of the Sarbanes-Oxley Act of 2002.</w:t>
              </w:r>
            </w:hyperlink>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pPr>
            <w:hyperlink w:anchor="apre-20260630xex31d2.htm">
              <w:r>
                <w:rPr>
                  <w:rStyle w:val="InternetLink"/>
                  <w:rFonts w:ascii="Times New Roman;Times;serif" w:hAnsi="Times New Roman;Times;serif"/>
                  <w:b w:val="false"/>
                  <w:i w:val="false"/>
                  <w:caps w:val="false"/>
                  <w:smallCaps w:val="false"/>
                  <w:sz w:val="20"/>
                </w:rPr>
                <w:t>31.2</w:t>
              </w:r>
            </w:hyperlink>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hyperlink w:anchor="apre-20260630xex31d2.htm">
              <w:r>
                <w:rPr>
                  <w:rStyle w:val="InternetLink"/>
                  <w:rFonts w:ascii="Times New Roman;Times;serif" w:hAnsi="Times New Roman;Times;serif"/>
                  <w:b w:val="false"/>
                  <w:i w:val="false"/>
                  <w:caps w:val="false"/>
                  <w:smallCaps w:val="false"/>
                  <w:sz w:val="20"/>
                </w:rPr>
                <w:t>Certification of the Registrant’s Chief Financial Officer pursuant to Section 302 of the Sarbanes-Oxley Act of 2002.</w:t>
              </w:r>
            </w:hyperlink>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pPr>
            <w:hyperlink w:anchor="apre-20260630xex32d1.htm">
              <w:r>
                <w:rPr>
                  <w:rStyle w:val="InternetLink"/>
                  <w:rFonts w:ascii="Times New Roman;Times;serif" w:hAnsi="Times New Roman;Times;serif"/>
                  <w:b w:val="false"/>
                  <w:i w:val="false"/>
                  <w:caps w:val="false"/>
                  <w:smallCaps w:val="false"/>
                  <w:sz w:val="20"/>
                </w:rPr>
                <w:t>32.1</w:t>
              </w:r>
            </w:hyperlink>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hyperlink w:anchor="apre-20260630xex32d1.htm">
              <w:r>
                <w:rPr>
                  <w:rStyle w:val="InternetLink"/>
                  <w:rFonts w:ascii="Times New Roman;Times;serif" w:hAnsi="Times New Roman;Times;serif"/>
                  <w:b w:val="false"/>
                  <w:i w:val="false"/>
                  <w:caps w:val="false"/>
                  <w:smallCaps w:val="false"/>
                  <w:sz w:val="20"/>
                </w:rPr>
                <w:t>Certification of the Registrant’s Chief Executive Officer pursuant to Section 906 of the Sarbanes-Oxley Act of 2002.</w:t>
              </w:r>
            </w:hyperlink>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pPr>
            <w:hyperlink w:anchor="apre-20260630xex32d2.htm">
              <w:r>
                <w:rPr>
                  <w:rStyle w:val="InternetLink"/>
                  <w:rFonts w:ascii="Times New Roman;Times;serif" w:hAnsi="Times New Roman;Times;serif"/>
                  <w:b w:val="false"/>
                  <w:i w:val="false"/>
                  <w:caps w:val="false"/>
                  <w:smallCaps w:val="false"/>
                  <w:sz w:val="20"/>
                </w:rPr>
                <w:t>32.2</w:t>
              </w:r>
            </w:hyperlink>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hyperlink w:anchor="apre-20260630xex32d2.htm">
              <w:r>
                <w:rPr>
                  <w:rStyle w:val="InternetLink"/>
                  <w:rFonts w:ascii="Times New Roman;Times;serif" w:hAnsi="Times New Roman;Times;serif"/>
                  <w:b w:val="false"/>
                  <w:i w:val="false"/>
                  <w:caps w:val="false"/>
                  <w:smallCaps w:val="false"/>
                  <w:sz w:val="20"/>
                </w:rPr>
                <w:t>Certification of the Registrant’s Chief Financial Officer pursuant to Section 906 of the Sarbanes-Oxley Act of 2002.</w:t>
              </w:r>
            </w:hyperlink>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With Embedded Linkbase Documents.</w:t>
            </w:r>
          </w:p>
        </w:tc>
      </w:tr>
      <w:tr>
        <w:trPr/>
        <w:tc>
          <w:tcPr>
            <w:tcW w:w="79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pPr>
            <w:r>
              <w:rPr/>
              <w:t>​</w:t>
            </w:r>
          </w:p>
        </w:tc>
      </w:tr>
      <w:tr>
        <w:trPr/>
        <w:tc>
          <w:tcPr>
            <w:tcW w:w="7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06" w:type="dxa"/>
            <w:tcBorders/>
            <w:vAlign w:val="center"/>
          </w:tcPr>
          <w:p>
            <w:pPr>
              <w:pStyle w:val="TableContents"/>
              <w:bidi w:val="0"/>
              <w:spacing w:before="0" w:after="0"/>
              <w:ind w:left="0" w:right="0" w:hanging="0"/>
              <w:jc w:val="left"/>
              <w:rPr/>
            </w:pPr>
            <w:r>
              <w:rPr/>
              <w:t>​</w:t>
            </w:r>
          </w:p>
        </w:tc>
        <w:tc>
          <w:tcPr>
            <w:tcW w:w="9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71" w:name="_2e190a34_6789_45d4_8a6f_1720c0c588a8"/>
      <w:bookmarkEnd w:id="871"/>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10158" w:type="dxa"/>
        <w:jc w:val="left"/>
        <w:tblInd w:w="0" w:type="dxa"/>
        <w:tblLayout w:type="fixed"/>
        <w:tblCellMar>
          <w:top w:w="0" w:type="dxa"/>
          <w:left w:w="0" w:type="dxa"/>
          <w:bottom w:w="0" w:type="dxa"/>
          <w:right w:w="0" w:type="dxa"/>
        </w:tblCellMar>
      </w:tblPr>
      <w:tblGrid>
        <w:gridCol w:w="1951"/>
        <w:gridCol w:w="406"/>
        <w:gridCol w:w="780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780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82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Aprea Therapeutics, Inc.</w:t>
            </w:r>
          </w:p>
        </w:tc>
      </w:tr>
      <w:tr>
        <w:trPr/>
        <w:tc>
          <w:tcPr>
            <w:tcW w:w="1951" w:type="dxa"/>
            <w:tcBorders/>
            <w:vAlign w:val="center"/>
          </w:tcPr>
          <w:p>
            <w:pPr>
              <w:pStyle w:val="TableContents"/>
              <w:bidi w:val="0"/>
              <w:spacing w:before="0" w:after="0"/>
              <w:ind w:left="0" w:right="0" w:hanging="0"/>
              <w:jc w:val="left"/>
              <w:rPr/>
            </w:pPr>
            <w:r>
              <w:rPr/>
              <w:t>​</w:t>
            </w:r>
          </w:p>
        </w:tc>
        <w:tc>
          <w:tcPr>
            <w:tcW w:w="820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Oren Gilad</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Oren Gilad, Ph.D.</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820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820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820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Hamill</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Hamill</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 (Principal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200"/>
        <w:ind w:left="0" w:right="0" w:hanging="0"/>
        <w:jc w:val="right"/>
        <w:rPr>
          <w:rFonts w:ascii="Times New Roman;Times;serif" w:hAnsi="Times New Roman;Times;serif"/>
          <w:b/>
          <w:sz w:val="20"/>
        </w:rPr>
      </w:pPr>
      <w:bookmarkStart w:id="872" w:name="apre-20260630xex31d1.htm"/>
      <w:bookmarkStart w:id="873" w:name="ksapre20260630xex31d1"/>
      <w:bookmarkEnd w:id="872"/>
      <w:bookmarkEnd w:id="873"/>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PERIODIC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Oren Gilad, certify that:</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1.   I have reviewed this quarterly report on Form 10-Q of Aprea Therapeutics, Inc.;</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02" w:right="0" w:hanging="432"/>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368" w:type="dxa"/>
        <w:jc w:val="center"/>
        <w:tblInd w:w="0" w:type="dxa"/>
        <w:tblLayout w:type="fixed"/>
        <w:tblCellMar>
          <w:top w:w="0" w:type="dxa"/>
          <w:left w:w="0" w:type="dxa"/>
          <w:bottom w:w="0" w:type="dxa"/>
          <w:right w:w="0" w:type="dxa"/>
        </w:tblCellMar>
      </w:tblPr>
      <w:tblGrid>
        <w:gridCol w:w="1951"/>
        <w:gridCol w:w="346"/>
        <w:gridCol w:w="2071"/>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346" w:type="dxa"/>
            <w:tcBorders/>
            <w:vAlign w:val="center"/>
          </w:tcPr>
          <w:p>
            <w:pPr>
              <w:pStyle w:val="TableContents"/>
              <w:bidi w:val="0"/>
              <w:spacing w:before="0" w:after="0"/>
              <w:ind w:left="0" w:right="0" w:hanging="0"/>
              <w:jc w:val="left"/>
              <w:rPr/>
            </w:pPr>
            <w:r>
              <w:rPr/>
              <w:t>  ​ ​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Oren Gilad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Oren Gilad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874" w:name="apre-20260630xex31d2.htm"/>
      <w:bookmarkStart w:id="875" w:name="ksapre20260630xex31d2"/>
      <w:bookmarkEnd w:id="874"/>
      <w:bookmarkEnd w:id="875"/>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PERIODIC REPORT PURSUANT TO SECTION 302 OF THE</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Hamill, certify that:</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1.   I have reviewed this quarterly report on Form 10-Q of Aprea Therapeutics, Inc.;</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pBdr/>
        <w:bidi w:val="0"/>
        <w:spacing w:before="0" w:after="200"/>
        <w:ind w:left="0" w:right="0" w:hanging="302"/>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00"/>
        <w:ind w:left="302" w:right="0" w:hanging="432"/>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02" w:right="0" w:hanging="432"/>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308" w:type="dxa"/>
        <w:jc w:val="center"/>
        <w:tblInd w:w="0" w:type="dxa"/>
        <w:tblLayout w:type="fixed"/>
        <w:tblCellMar>
          <w:top w:w="0" w:type="dxa"/>
          <w:left w:w="0" w:type="dxa"/>
          <w:bottom w:w="0" w:type="dxa"/>
          <w:right w:w="0" w:type="dxa"/>
        </w:tblCellMar>
      </w:tblPr>
      <w:tblGrid>
        <w:gridCol w:w="1951"/>
        <w:gridCol w:w="346"/>
        <w:gridCol w:w="2011"/>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346" w:type="dxa"/>
            <w:tcBorders/>
            <w:vAlign w:val="center"/>
          </w:tcPr>
          <w:p>
            <w:pPr>
              <w:pStyle w:val="TableContents"/>
              <w:bidi w:val="0"/>
              <w:spacing w:before="0" w:after="0"/>
              <w:ind w:left="0" w:right="0" w:hanging="0"/>
              <w:jc w:val="left"/>
              <w:rPr/>
            </w:pPr>
            <w:r>
              <w:rPr/>
              <w:t>  ​ ​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Hamill</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Hamill</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76" w:name="apre-20260630xex32d1.htm"/>
      <w:bookmarkStart w:id="877" w:name="ksapre20260630xex32d1"/>
      <w:bookmarkEnd w:id="876"/>
      <w:bookmarkEnd w:id="87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 OF CHIEF EXECUTIVE OFFICER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In connection with the quarterly report of Aprea Therapeutics, Inc. (the “Company”) on Form 10-Q for the period ended June 30, 2026 as filed with the Securities and Exchange Commission (the “Report”), I, Oren Gilad, Chief Executive Officer of the Company, certify, pursuant to 18 U.S.C. §1350, as adopted pursuant to §906 of the Sarbanes-Oxley Act of 2002, that, based on my knowledge:</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368" w:type="dxa"/>
        <w:jc w:val="center"/>
        <w:tblInd w:w="0" w:type="dxa"/>
        <w:tblLayout w:type="fixed"/>
        <w:tblCellMar>
          <w:top w:w="0" w:type="dxa"/>
          <w:left w:w="0" w:type="dxa"/>
          <w:bottom w:w="0" w:type="dxa"/>
          <w:right w:w="0" w:type="dxa"/>
        </w:tblCellMar>
      </w:tblPr>
      <w:tblGrid>
        <w:gridCol w:w="1951"/>
        <w:gridCol w:w="346"/>
        <w:gridCol w:w="2071"/>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346" w:type="dxa"/>
            <w:tcBorders/>
            <w:vAlign w:val="center"/>
          </w:tcPr>
          <w:p>
            <w:pPr>
              <w:pStyle w:val="TableContents"/>
              <w:bidi w:val="0"/>
              <w:spacing w:before="0" w:after="0"/>
              <w:ind w:left="0" w:right="0" w:hanging="0"/>
              <w:jc w:val="left"/>
              <w:rPr/>
            </w:pPr>
            <w:r>
              <w:rPr/>
              <w:t>  ​ ​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Oren Gilad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Oren Gilad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878" w:name="apre-20260630xex32d2.htm"/>
      <w:bookmarkStart w:id="879" w:name="ksapre20260630xex32d2"/>
      <w:bookmarkEnd w:id="878"/>
      <w:bookmarkEnd w:id="879"/>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 OF CHIEF ACCOUNTING OFFICER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APREA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In connection with the quarterly report of Aprea Therapeutics, Inc. (the “Company”) on Form 10-Q for the period ended June 30, 2026 as filed with the Securities and Exchange Commission (the “Report”), I, John P. Hamill, Chief Accounting Officer of the Company, certify, pursuant to 18 U.S.C. §1350, as adopted pursuant to §906 of the Sarbanes-Oxley Act of 2002, that, based on my knowledge:</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308" w:type="dxa"/>
        <w:jc w:val="center"/>
        <w:tblInd w:w="0" w:type="dxa"/>
        <w:tblLayout w:type="fixed"/>
        <w:tblCellMar>
          <w:top w:w="0" w:type="dxa"/>
          <w:left w:w="0" w:type="dxa"/>
          <w:bottom w:w="0" w:type="dxa"/>
          <w:right w:w="0" w:type="dxa"/>
        </w:tblCellMar>
      </w:tblPr>
      <w:tblGrid>
        <w:gridCol w:w="1951"/>
        <w:gridCol w:w="346"/>
        <w:gridCol w:w="2011"/>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346" w:type="dxa"/>
            <w:tcBorders/>
            <w:vAlign w:val="center"/>
          </w:tcPr>
          <w:p>
            <w:pPr>
              <w:pStyle w:val="TableContents"/>
              <w:bidi w:val="0"/>
              <w:spacing w:before="0" w:after="0"/>
              <w:ind w:left="0" w:right="0" w:hanging="0"/>
              <w:jc w:val="left"/>
              <w:rPr/>
            </w:pPr>
            <w:r>
              <w:rPr/>
              <w:t>  ​ ​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Hamill</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Hamill</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altName w:val="font-weight:bold"/>
    <w:charset w:val="01"/>
    <w:family w:val="auto"/>
    <w:pitch w:val="default"/>
  </w:font>
  <w:font w:name="Times New Roman">
    <w:charset w:val="01"/>
    <w:family w:val="auto"/>
    <w:pitch w:val="default"/>
  </w:font>
  <w:font w:name="Times New Roman">
    <w:altName w:val="font-style:italic"/>
    <w:charset w:val="01"/>
    <w:family w:val="auto"/>
    <w:pitch w:val="default"/>
  </w:font>
  <w:font w:name="Times New Roman">
    <w:altName w:val="font-size:10p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58992</Words>
  <Characters>329590</Characters>
  <CharactersWithSpaces>388607</CharactersWithSpaces>
  <Paragraphs>4258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