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201">
        <w:r>
          <w:rPr>
            <w:rFonts w:ascii="Arial" w:cs="Arial" w:eastAsia="Arial" w:hAnsi="Arial"/>
            <w:sz w:val="22"/>
            <w:szCs w:val="22"/>
            <w:u w:val="single" w:color="auto"/>
            <w:color w:val="0000EE"/>
          </w:rPr>
          <w:t>Index to Financial Statements</w:t>
        </w:r>
      </w:hyperlink>
    </w:p>
    <w:p>
      <w:pPr>
        <w:spacing w:after="0" w:line="19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424(b)4</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333-233662</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5,666,667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160020</wp:posOffset>
            </wp:positionV>
            <wp:extent cx="1809750" cy="1183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1183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ind w:right="320" w:firstLine="348"/>
        <w:spacing w:after="0" w:line="268" w:lineRule="auto"/>
        <w:rPr>
          <w:sz w:val="20"/>
          <w:szCs w:val="20"/>
          <w:color w:val="auto"/>
        </w:rPr>
      </w:pPr>
      <w:r>
        <w:rPr>
          <w:rFonts w:ascii="Arial" w:cs="Arial" w:eastAsia="Arial" w:hAnsi="Arial"/>
          <w:sz w:val="18"/>
          <w:szCs w:val="18"/>
          <w:color w:val="auto"/>
        </w:rPr>
        <w:t>This is Aprea Therapeutics, Inc.'s initial public offering. We are selling 5,666,667 shares of our common stock in this offering. The initial public offering price of our common stock is $15.00 per share.</w:t>
      </w:r>
    </w:p>
    <w:p>
      <w:pPr>
        <w:spacing w:after="0" w:line="186"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Prior to this offering, there has been no market for our common stock. Our common stock has been approved for listing on the Nasdaq Global Select Market under the symbol "APRE."</w:t>
      </w:r>
    </w:p>
    <w:p>
      <w:pPr>
        <w:spacing w:after="0" w:line="186" w:lineRule="exact"/>
        <w:rPr>
          <w:sz w:val="24"/>
          <w:szCs w:val="24"/>
          <w:color w:val="auto"/>
        </w:rPr>
      </w:pPr>
    </w:p>
    <w:p>
      <w:pPr>
        <w:jc w:val="both"/>
        <w:ind w:right="660" w:firstLine="348"/>
        <w:spacing w:after="0" w:line="259" w:lineRule="auto"/>
        <w:rPr>
          <w:sz w:val="20"/>
          <w:szCs w:val="20"/>
          <w:color w:val="auto"/>
        </w:rPr>
      </w:pPr>
      <w:r>
        <w:rPr>
          <w:rFonts w:ascii="Arial" w:cs="Arial" w:eastAsia="Arial" w:hAnsi="Arial"/>
          <w:sz w:val="18"/>
          <w:szCs w:val="18"/>
          <w:color w:val="auto"/>
        </w:rPr>
        <w:t>We are an "emerging growth company" and a "smaller reporting company" under federal securities laws and are subject to reduced public company disclosure standards for this prospectus and future filings. See "Summary—Implications of Being an Emerging Growth Company and Smaller Reporting Company."</w:t>
      </w:r>
    </w:p>
    <w:p>
      <w:pPr>
        <w:spacing w:after="0" w:line="175" w:lineRule="exact"/>
        <w:rPr>
          <w:sz w:val="24"/>
          <w:szCs w:val="24"/>
          <w:color w:val="auto"/>
        </w:rPr>
      </w:pPr>
    </w:p>
    <w:p>
      <w:pPr>
        <w:ind w:right="300" w:firstLine="351"/>
        <w:spacing w:after="0" w:line="256" w:lineRule="auto"/>
        <w:rPr>
          <w:sz w:val="20"/>
          <w:szCs w:val="20"/>
          <w:color w:val="auto"/>
        </w:rPr>
      </w:pPr>
      <w:r>
        <w:rPr>
          <w:rFonts w:ascii="Arial" w:cs="Arial" w:eastAsia="Arial" w:hAnsi="Arial"/>
          <w:sz w:val="22"/>
          <w:szCs w:val="22"/>
          <w:b w:val="1"/>
          <w:bCs w:val="1"/>
          <w:color w:val="auto"/>
        </w:rPr>
        <w:t>Investing in the common stock involves risks that are described in the "</w:t>
      </w:r>
      <w:r>
        <w:rPr>
          <w:rFonts w:ascii="Arial" w:cs="Arial" w:eastAsia="Arial" w:hAnsi="Arial"/>
          <w:sz w:val="22"/>
          <w:szCs w:val="22"/>
          <w:b w:val="1"/>
          <w:bCs w:val="1"/>
          <w:i w:val="1"/>
          <w:iCs w:val="1"/>
          <w:color w:val="auto"/>
        </w:rPr>
        <w:t>Risk Factors</w:t>
      </w:r>
      <w:r>
        <w:rPr>
          <w:rFonts w:ascii="Arial" w:cs="Arial" w:eastAsia="Arial" w:hAnsi="Arial"/>
          <w:sz w:val="22"/>
          <w:szCs w:val="22"/>
          <w:b w:val="1"/>
          <w:bCs w:val="1"/>
          <w:color w:val="auto"/>
        </w:rPr>
        <w:t>" section beginning on page 12 of this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120650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ind w:right="340"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000" w:type="dxa"/>
            <w:vAlign w:val="bottom"/>
            <w:vMerge w:val="restart"/>
          </w:tcPr>
          <w:p>
            <w:pPr>
              <w:spacing w:after="0"/>
              <w:rPr>
                <w:sz w:val="20"/>
                <w:szCs w:val="20"/>
                <w:color w:val="auto"/>
              </w:rPr>
            </w:pPr>
            <w:r>
              <w:rPr>
                <w:rFonts w:ascii="Arial" w:cs="Arial" w:eastAsia="Arial" w:hAnsi="Arial"/>
                <w:sz w:val="18"/>
                <w:szCs w:val="18"/>
                <w:color w:val="auto"/>
              </w:rPr>
              <w:t>Public offering price</w:t>
            </w:r>
          </w:p>
        </w:tc>
        <w:tc>
          <w:tcPr>
            <w:tcW w:w="604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Per share</w:t>
            </w:r>
          </w:p>
        </w:tc>
        <w:tc>
          <w:tcPr>
            <w:tcW w:w="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3000" w:type="dxa"/>
            <w:vAlign w:val="bottom"/>
            <w:vMerge w:val="continue"/>
          </w:tcPr>
          <w:p>
            <w:pPr>
              <w:spacing w:after="0"/>
              <w:rPr>
                <w:sz w:val="17"/>
                <w:szCs w:val="17"/>
                <w:color w:val="auto"/>
              </w:rPr>
            </w:pPr>
          </w:p>
        </w:tc>
        <w:tc>
          <w:tcPr>
            <w:tcW w:w="6040" w:type="dxa"/>
            <w:vAlign w:val="bottom"/>
          </w:tcPr>
          <w:p>
            <w:pPr>
              <w:spacing w:after="0"/>
              <w:rPr>
                <w:sz w:val="17"/>
                <w:szCs w:val="17"/>
                <w:color w:val="auto"/>
              </w:rPr>
            </w:pPr>
          </w:p>
        </w:tc>
        <w:tc>
          <w:tcPr>
            <w:tcW w:w="200" w:type="dxa"/>
            <w:vAlign w:val="bottom"/>
          </w:tcPr>
          <w:p>
            <w:pPr>
              <w:jc w:val="right"/>
              <w:ind w:right="22"/>
              <w:spacing w:after="0" w:line="201"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15.00</w:t>
            </w:r>
          </w:p>
        </w:tc>
        <w:tc>
          <w:tcPr>
            <w:tcW w:w="480" w:type="dxa"/>
            <w:vAlign w:val="bottom"/>
          </w:tcPr>
          <w:p>
            <w:pPr>
              <w:spacing w:after="0"/>
              <w:rPr>
                <w:sz w:val="17"/>
                <w:szCs w:val="17"/>
                <w:color w:val="auto"/>
              </w:rPr>
            </w:pPr>
          </w:p>
        </w:tc>
        <w:tc>
          <w:tcPr>
            <w:tcW w:w="16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w w:val="93"/>
              </w:rPr>
              <w:t>85,000,005</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Underwriting discount(1)</w:t>
            </w:r>
          </w:p>
        </w:tc>
        <w:tc>
          <w:tcPr>
            <w:tcW w:w="624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5,950,000</w:t>
            </w:r>
          </w:p>
        </w:tc>
        <w:tc>
          <w:tcPr>
            <w:tcW w:w="0" w:type="dxa"/>
            <w:vAlign w:val="bottom"/>
          </w:tcPr>
          <w:p>
            <w:pPr>
              <w:spacing w:after="0"/>
              <w:rPr>
                <w:sz w:val="1"/>
                <w:szCs w:val="1"/>
                <w:color w:val="auto"/>
              </w:rPr>
            </w:pPr>
          </w:p>
        </w:tc>
      </w:tr>
      <w:tr>
        <w:trPr>
          <w:trHeight w:val="222"/>
        </w:trPr>
        <w:tc>
          <w:tcPr>
            <w:tcW w:w="300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624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13.95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79,050,005</w:t>
            </w:r>
          </w:p>
        </w:tc>
        <w:tc>
          <w:tcPr>
            <w:tcW w:w="0" w:type="dxa"/>
            <w:vAlign w:val="bottom"/>
          </w:tcPr>
          <w:p>
            <w:pPr>
              <w:spacing w:after="0"/>
              <w:rPr>
                <w:sz w:val="1"/>
                <w:szCs w:val="1"/>
                <w:color w:val="auto"/>
              </w:rPr>
            </w:pPr>
          </w:p>
        </w:tc>
      </w:tr>
      <w:tr>
        <w:trPr>
          <w:trHeight w:val="110"/>
        </w:trPr>
        <w:tc>
          <w:tcPr>
            <w:tcW w:w="3000" w:type="dxa"/>
            <w:vAlign w:val="bottom"/>
            <w:tcBorders>
              <w:bottom w:val="single" w:sz="8" w:color="auto"/>
            </w:tcBorders>
          </w:tcPr>
          <w:p>
            <w:pPr>
              <w:spacing w:after="0"/>
              <w:rPr>
                <w:sz w:val="9"/>
                <w:szCs w:val="9"/>
                <w:color w:val="auto"/>
              </w:rPr>
            </w:pPr>
          </w:p>
        </w:tc>
        <w:tc>
          <w:tcPr>
            <w:tcW w:w="6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4"/>
          <w:szCs w:val="24"/>
          <w:color w:val="auto"/>
        </w:rPr>
      </w:pPr>
    </w:p>
    <w:p>
      <w:pPr>
        <w:ind w:left="540" w:right="400" w:hanging="532"/>
        <w:spacing w:after="0" w:line="239"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We have agreed to reimburse the underwriters for certain FINRA-related expenses. We refer you to "Underwriting" beginning on page 188 of this prospectus for additional information regarding underwriting compensation.</w:t>
      </w:r>
    </w:p>
    <w:p>
      <w:pPr>
        <w:spacing w:after="0" w:line="195" w:lineRule="exact"/>
        <w:rPr>
          <w:sz w:val="24"/>
          <w:szCs w:val="24"/>
          <w:color w:val="auto"/>
        </w:rPr>
      </w:pPr>
    </w:p>
    <w:p>
      <w:pPr>
        <w:ind w:right="560" w:firstLine="348"/>
        <w:spacing w:after="0" w:line="268" w:lineRule="auto"/>
        <w:rPr>
          <w:sz w:val="20"/>
          <w:szCs w:val="20"/>
          <w:color w:val="auto"/>
        </w:rPr>
      </w:pPr>
      <w:r>
        <w:rPr>
          <w:rFonts w:ascii="Arial" w:cs="Arial" w:eastAsia="Arial" w:hAnsi="Arial"/>
          <w:sz w:val="18"/>
          <w:szCs w:val="18"/>
          <w:color w:val="auto"/>
        </w:rPr>
        <w:t>The underwriters may also exercise their option to purchase up to an additional 850,000 shares from us, at the public offering price, less underwriting discounts and commissions, within 30 days after the date of this prospectus.</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The shares will be ready for delivery on or about October 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205" w:lineRule="exact"/>
        <w:rPr>
          <w:sz w:val="24"/>
          <w:szCs w:val="24"/>
          <w:color w:val="auto"/>
        </w:rPr>
      </w:pPr>
    </w:p>
    <w:p>
      <w:pPr>
        <w:ind w:left="1140"/>
        <w:spacing w:after="0"/>
        <w:tabs>
          <w:tab w:leader="none" w:pos="4920" w:val="left"/>
          <w:tab w:leader="none" w:pos="8080" w:val="left"/>
        </w:tabs>
        <w:rPr>
          <w:sz w:val="20"/>
          <w:szCs w:val="20"/>
          <w:color w:val="auto"/>
        </w:rPr>
      </w:pPr>
      <w:r>
        <w:rPr>
          <w:rFonts w:ascii="Arial" w:cs="Arial" w:eastAsia="Arial" w:hAnsi="Arial"/>
          <w:sz w:val="24"/>
          <w:szCs w:val="24"/>
          <w:b w:val="1"/>
          <w:bCs w:val="1"/>
          <w:color w:val="auto"/>
        </w:rPr>
        <w:t>J.P. Morgan</w:t>
      </w:r>
      <w:r>
        <w:rPr>
          <w:sz w:val="20"/>
          <w:szCs w:val="20"/>
          <w:color w:val="auto"/>
        </w:rPr>
        <w:tab/>
      </w:r>
      <w:r>
        <w:rPr>
          <w:rFonts w:ascii="Arial" w:cs="Arial" w:eastAsia="Arial" w:hAnsi="Arial"/>
          <w:sz w:val="24"/>
          <w:szCs w:val="24"/>
          <w:b w:val="1"/>
          <w:bCs w:val="1"/>
          <w:color w:val="auto"/>
        </w:rPr>
        <w:t>Morgan Stanley</w:t>
      </w:r>
      <w:r>
        <w:rPr>
          <w:sz w:val="20"/>
          <w:szCs w:val="20"/>
          <w:color w:val="auto"/>
        </w:rPr>
        <w:tab/>
      </w:r>
      <w:r>
        <w:rPr>
          <w:rFonts w:ascii="Arial" w:cs="Arial" w:eastAsia="Arial" w:hAnsi="Arial"/>
          <w:sz w:val="23"/>
          <w:szCs w:val="23"/>
          <w:b w:val="1"/>
          <w:bCs w:val="1"/>
          <w:color w:val="auto"/>
        </w:rPr>
        <w:t>RBC Capital Markets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ectPr>
          <w:pgSz w:w="11900" w:h="16838" w:orient="portrait"/>
          <w:cols w:equalWidth="0" w:num="1">
            <w:col w:w="11420"/>
          </w:cols>
          <w:pgMar w:left="240" w:top="685" w:right="239" w:bottom="47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The date of this prospectus is October 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479"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Explanatory Note</w:t>
      </w:r>
    </w:p>
    <w:p>
      <w:pPr>
        <w:spacing w:after="0" w:line="23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On September 20, 2019, we consummated the corporate reorganization as described in this prospectus under the section titled "Corporate Reorganization," pursuant to which all of the issued and outstanding stock and options of Aprea Therapeutics AB, a corporation domiciled in Sweden, were exchanged for common stock, preferred stock or options, as applicable, of Aprea Therapeutics, Inc., the issuer of the common stock being offered in this offering. As a result of this corporate reorganization, Aprea Therapeutics AB became a wholly-owned subsidiary of Aprea Therapeutics, Inc., a recently formed holding company with nominal assets and no liabilities, contingencies, or commitments, which has not conducted any operations prior to this offering other than acquiring the entire issued and outstanding stock of Aprea Therapeutics AB.</w:t>
      </w:r>
    </w:p>
    <w:p>
      <w:pPr>
        <w:spacing w:after="0" w:line="174"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refer to these transactions throughout the prospectus included in this registration statement collectively as the "Holdco Reorganization." See "Corporate Reorganization" for further detail regarding these transactions.</w:t>
      </w:r>
    </w:p>
    <w:p>
      <w:pPr>
        <w:spacing w:after="0" w:line="186"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The audited consolidated financial statements for 2017 and 2018 and the notes thereto, the unaudited interim condensed consolidated financial statements for the six months ended June 30, 2019 and 2018 and the notes thereto, and selected historical consolidated financial data and other financial information included in this registration statement are those of Aprea Therapeutics AB and do not give effect to the Holdco Reorganization. The balance sheet of Aprea Therapeutics, Inc. at July 11, 2019, included in this registration statement, does not give effect to the Holdco Reorganization.</w:t>
      </w:r>
    </w:p>
    <w:p>
      <w:pPr>
        <w:spacing w:after="0" w:line="16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Immediately prior to the completion of this offering, and with the consent of shareholders representing a majority of our outstanding preferred shares, all outstanding shares of our convertible preferred stock, including the shares issued as part of the Holdco Reorganization, will convert into an aggregate of 13,028,292 shares of our common stock. Shares of the common stock of Aprea Therapeutics, Inc. are being offered by the prospectus included in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 w:name="page3"/>
    <w:bookmarkEnd w:id="2"/>
    <w:tbl>
      <w:tblPr>
        <w:tblLayout w:type="fixed"/>
        <w:tblInd w:w="114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760" w:type="dxa"/>
            <w:vAlign w:val="bottom"/>
            <w:gridSpan w:val="3"/>
          </w:tcPr>
          <w:p>
            <w:pPr>
              <w:ind w:left="100"/>
              <w:spacing w:after="0"/>
              <w:rPr>
                <w:sz w:val="20"/>
                <w:szCs w:val="20"/>
                <w:color w:val="auto"/>
              </w:rPr>
            </w:pPr>
            <w:r>
              <w:rPr>
                <w:rFonts w:ascii="Arial" w:cs="Arial" w:eastAsia="Arial" w:hAnsi="Arial"/>
                <w:sz w:val="18"/>
                <w:szCs w:val="18"/>
                <w:b w:val="1"/>
                <w:bCs w:val="1"/>
                <w:color w:val="auto"/>
              </w:rPr>
              <w:t>Table of Contents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700" w:type="dxa"/>
            <w:vAlign w:val="bottom"/>
            <w:gridSpan w:val="4"/>
            <w:vMerge w:val="restart"/>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Summary</w:t>
              </w:r>
            </w:hyperlink>
          </w:p>
        </w:tc>
        <w:tc>
          <w:tcPr>
            <w:tcW w:w="7860" w:type="dxa"/>
            <w:vAlign w:val="bottom"/>
            <w:gridSpan w:val="18"/>
            <w:vMerge w:val="restart"/>
          </w:tcPr>
          <w:p>
            <w:pPr>
              <w:spacing w:after="0"/>
              <w:rPr>
                <w:sz w:val="24"/>
                <w:szCs w:val="24"/>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700" w:type="dxa"/>
            <w:vAlign w:val="bottom"/>
            <w:tcBorders>
              <w:bottom w:val="single" w:sz="8" w:color="0000EE"/>
            </w:tcBorders>
            <w:gridSpan w:val="4"/>
            <w:vMerge w:val="continue"/>
          </w:tcPr>
          <w:p>
            <w:pPr>
              <w:spacing w:after="0"/>
              <w:rPr>
                <w:sz w:val="14"/>
                <w:szCs w:val="14"/>
                <w:color w:val="auto"/>
              </w:rPr>
            </w:pPr>
          </w:p>
        </w:tc>
        <w:tc>
          <w:tcPr>
            <w:tcW w:w="7860" w:type="dxa"/>
            <w:vAlign w:val="bottom"/>
            <w:gridSpan w:val="18"/>
            <w:vMerge w:val="continue"/>
          </w:tcPr>
          <w:p>
            <w:pPr>
              <w:spacing w:after="0"/>
              <w:rPr>
                <w:sz w:val="14"/>
                <w:szCs w:val="14"/>
                <w:color w:val="auto"/>
              </w:rPr>
            </w:pPr>
          </w:p>
        </w:tc>
        <w:tc>
          <w:tcPr>
            <w:tcW w:w="320" w:type="dxa"/>
            <w:vAlign w:val="bottom"/>
            <w:gridSpan w:val="2"/>
          </w:tcPr>
          <w:p>
            <w:pPr>
              <w:spacing w:after="0"/>
              <w:rPr>
                <w:sz w:val="14"/>
                <w:szCs w:val="14"/>
                <w:color w:val="auto"/>
              </w:rPr>
            </w:pPr>
          </w:p>
        </w:tc>
        <w:tc>
          <w:tcPr>
            <w:tcW w:w="100" w:type="dxa"/>
            <w:vAlign w:val="bottom"/>
            <w:tcBorders>
              <w:bottom w:val="single" w:sz="8" w:color="0000EE"/>
            </w:tcBorders>
          </w:tcPr>
          <w:p>
            <w:pPr>
              <w:jc w:val="right"/>
              <w:spacing w:after="0" w:line="170"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Risk Factors</w:t>
              </w:r>
            </w:hyperlink>
          </w:p>
        </w:tc>
        <w:tc>
          <w:tcPr>
            <w:tcW w:w="7660" w:type="dxa"/>
            <w:vAlign w:val="bottom"/>
            <w:gridSpan w:val="17"/>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6">
              <w:r>
                <w:rPr>
                  <w:rFonts w:ascii="Arial" w:cs="Arial" w:eastAsia="Arial" w:hAnsi="Arial"/>
                  <w:sz w:val="18"/>
                  <w:szCs w:val="18"/>
                  <w:color w:val="0000EE"/>
                  <w:w w:val="79"/>
                </w:rPr>
                <w:t>12</w:t>
              </w:r>
            </w:hyperlink>
          </w:p>
        </w:tc>
        <w:tc>
          <w:tcPr>
            <w:tcW w:w="0" w:type="dxa"/>
            <w:vAlign w:val="bottom"/>
          </w:tcPr>
          <w:p>
            <w:pPr>
              <w:spacing w:after="0"/>
              <w:rPr>
                <w:sz w:val="1"/>
                <w:szCs w:val="1"/>
                <w:color w:val="auto"/>
              </w:rPr>
            </w:pPr>
          </w:p>
        </w:tc>
      </w:tr>
      <w:tr>
        <w:trPr>
          <w:trHeight w:val="196"/>
        </w:trPr>
        <w:tc>
          <w:tcPr>
            <w:tcW w:w="380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79">
              <w:r>
                <w:rPr>
                  <w:rFonts w:ascii="Arial" w:cs="Arial" w:eastAsia="Arial" w:hAnsi="Arial"/>
                  <w:sz w:val="18"/>
                  <w:szCs w:val="18"/>
                  <w:color w:val="0000EE"/>
                  <w:w w:val="88"/>
                </w:rPr>
                <w:t>Special Note Regarding Forward-Looking Statements</w:t>
              </w:r>
            </w:hyperlink>
          </w:p>
        </w:tc>
        <w:tc>
          <w:tcPr>
            <w:tcW w:w="476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9">
              <w:r>
                <w:rPr>
                  <w:rFonts w:ascii="Arial" w:cs="Arial" w:eastAsia="Arial" w:hAnsi="Arial"/>
                  <w:sz w:val="18"/>
                  <w:szCs w:val="18"/>
                  <w:color w:val="0000EE"/>
                  <w:w w:val="79"/>
                </w:rPr>
                <w:t>75</w:t>
              </w:r>
            </w:hyperlink>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10"/>
          </w:tcPr>
          <w:p>
            <w:pPr>
              <w:spacing w:after="0" w:line="196" w:lineRule="exact"/>
              <w:rPr>
                <w:rFonts w:ascii="Arial" w:cs="Arial" w:eastAsia="Arial" w:hAnsi="Arial"/>
                <w:sz w:val="18"/>
                <w:szCs w:val="18"/>
                <w:color w:val="0000EE"/>
                <w:w w:val="85"/>
              </w:rPr>
            </w:pPr>
            <w:hyperlink w:anchor="page81">
              <w:r>
                <w:rPr>
                  <w:rFonts w:ascii="Arial" w:cs="Arial" w:eastAsia="Arial" w:hAnsi="Arial"/>
                  <w:sz w:val="18"/>
                  <w:szCs w:val="18"/>
                  <w:color w:val="0000EE"/>
                  <w:w w:val="85"/>
                </w:rPr>
                <w:t>Use of Proceeds</w:t>
              </w:r>
            </w:hyperlink>
          </w:p>
        </w:tc>
        <w:tc>
          <w:tcPr>
            <w:tcW w:w="7400" w:type="dxa"/>
            <w:vAlign w:val="bottom"/>
            <w:gridSpan w:val="12"/>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1">
              <w:r>
                <w:rPr>
                  <w:rFonts w:ascii="Arial" w:cs="Arial" w:eastAsia="Arial" w:hAnsi="Arial"/>
                  <w:sz w:val="18"/>
                  <w:szCs w:val="18"/>
                  <w:color w:val="0000EE"/>
                  <w:w w:val="79"/>
                </w:rPr>
                <w:t>77</w:t>
              </w:r>
            </w:hyperlink>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82">
              <w:r>
                <w:rPr>
                  <w:rFonts w:ascii="Arial" w:cs="Arial" w:eastAsia="Arial" w:hAnsi="Arial"/>
                  <w:sz w:val="18"/>
                  <w:szCs w:val="18"/>
                  <w:color w:val="0000EE"/>
                  <w:w w:val="92"/>
                </w:rPr>
                <w:t>Dividend Policy</w:t>
              </w:r>
            </w:hyperlink>
          </w:p>
        </w:tc>
        <w:tc>
          <w:tcPr>
            <w:tcW w:w="7400" w:type="dxa"/>
            <w:vAlign w:val="bottom"/>
            <w:gridSpan w:val="12"/>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2">
              <w:r>
                <w:rPr>
                  <w:rFonts w:ascii="Arial" w:cs="Arial" w:eastAsia="Arial" w:hAnsi="Arial"/>
                  <w:sz w:val="18"/>
                  <w:szCs w:val="18"/>
                  <w:color w:val="0000EE"/>
                  <w:w w:val="79"/>
                </w:rPr>
                <w:t>78</w:t>
              </w:r>
            </w:hyperlink>
          </w:p>
        </w:tc>
        <w:tc>
          <w:tcPr>
            <w:tcW w:w="0" w:type="dxa"/>
            <w:vAlign w:val="bottom"/>
          </w:tcPr>
          <w:p>
            <w:pPr>
              <w:spacing w:after="0"/>
              <w:rPr>
                <w:sz w:val="1"/>
                <w:szCs w:val="1"/>
                <w:color w:val="auto"/>
              </w:rPr>
            </w:pPr>
          </w:p>
        </w:tc>
      </w:tr>
      <w:tr>
        <w:trPr>
          <w:trHeight w:val="196"/>
        </w:trPr>
        <w:tc>
          <w:tcPr>
            <w:tcW w:w="8560" w:type="dxa"/>
            <w:vAlign w:val="bottom"/>
            <w:gridSpan w:val="22"/>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Corporate Reorganization</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79</w:t>
              </w:r>
            </w:hyperlink>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84">
              <w:r>
                <w:rPr>
                  <w:rFonts w:ascii="Arial" w:cs="Arial" w:eastAsia="Arial" w:hAnsi="Arial"/>
                  <w:sz w:val="18"/>
                  <w:szCs w:val="18"/>
                  <w:color w:val="0000EE"/>
                  <w:w w:val="90"/>
                </w:rPr>
                <w:t>Capitalization</w:t>
              </w:r>
            </w:hyperlink>
          </w:p>
        </w:tc>
        <w:tc>
          <w:tcPr>
            <w:tcW w:w="820" w:type="dxa"/>
            <w:vAlign w:val="bottom"/>
            <w:tcBorders>
              <w:top w:val="single" w:sz="8" w:color="0000EE"/>
            </w:tcBorders>
            <w:gridSpan w:val="5"/>
          </w:tcPr>
          <w:p>
            <w:pPr>
              <w:spacing w:after="0"/>
              <w:rPr>
                <w:sz w:val="17"/>
                <w:szCs w:val="17"/>
                <w:color w:val="auto"/>
              </w:rPr>
            </w:pPr>
          </w:p>
        </w:tc>
        <w:tc>
          <w:tcPr>
            <w:tcW w:w="6740" w:type="dxa"/>
            <w:vAlign w:val="bottom"/>
            <w:gridSpan w:val="8"/>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4">
              <w:r>
                <w:rPr>
                  <w:rFonts w:ascii="Arial" w:cs="Arial" w:eastAsia="Arial" w:hAnsi="Arial"/>
                  <w:sz w:val="18"/>
                  <w:szCs w:val="18"/>
                  <w:color w:val="0000EE"/>
                  <w:w w:val="79"/>
                </w:rPr>
                <w:t>80</w:t>
              </w:r>
            </w:hyperlink>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86">
              <w:r>
                <w:rPr>
                  <w:rFonts w:ascii="Arial" w:cs="Arial" w:eastAsia="Arial" w:hAnsi="Arial"/>
                  <w:sz w:val="18"/>
                  <w:szCs w:val="18"/>
                  <w:color w:val="0000EE"/>
                  <w:w w:val="96"/>
                </w:rPr>
                <w:t>Dilution</w:t>
              </w:r>
            </w:hyperlink>
          </w:p>
        </w:tc>
        <w:tc>
          <w:tcPr>
            <w:tcW w:w="7960" w:type="dxa"/>
            <w:vAlign w:val="bottom"/>
            <w:gridSpan w:val="20"/>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6">
              <w:r>
                <w:rPr>
                  <w:rFonts w:ascii="Arial" w:cs="Arial" w:eastAsia="Arial" w:hAnsi="Arial"/>
                  <w:sz w:val="18"/>
                  <w:szCs w:val="18"/>
                  <w:color w:val="0000EE"/>
                  <w:w w:val="79"/>
                </w:rPr>
                <w:t>82</w:t>
              </w:r>
            </w:hyperlink>
          </w:p>
        </w:tc>
        <w:tc>
          <w:tcPr>
            <w:tcW w:w="0" w:type="dxa"/>
            <w:vAlign w:val="bottom"/>
          </w:tcPr>
          <w:p>
            <w:pPr>
              <w:spacing w:after="0"/>
              <w:rPr>
                <w:sz w:val="1"/>
                <w:szCs w:val="1"/>
                <w:color w:val="auto"/>
              </w:rPr>
            </w:pPr>
          </w:p>
        </w:tc>
      </w:tr>
      <w:tr>
        <w:trPr>
          <w:trHeight w:val="196"/>
        </w:trPr>
        <w:tc>
          <w:tcPr>
            <w:tcW w:w="168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89">
              <w:r>
                <w:rPr>
                  <w:rFonts w:ascii="Arial" w:cs="Arial" w:eastAsia="Arial" w:hAnsi="Arial"/>
                  <w:sz w:val="18"/>
                  <w:szCs w:val="18"/>
                  <w:color w:val="0000EE"/>
                  <w:w w:val="87"/>
                </w:rPr>
                <w:t>Selected Financial Data</w:t>
              </w:r>
            </w:hyperlink>
          </w:p>
        </w:tc>
        <w:tc>
          <w:tcPr>
            <w:tcW w:w="6880" w:type="dxa"/>
            <w:vAlign w:val="bottom"/>
            <w:gridSpan w:val="10"/>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9">
              <w:r>
                <w:rPr>
                  <w:rFonts w:ascii="Arial" w:cs="Arial" w:eastAsia="Arial" w:hAnsi="Arial"/>
                  <w:sz w:val="18"/>
                  <w:szCs w:val="18"/>
                  <w:color w:val="0000EE"/>
                  <w:w w:val="79"/>
                </w:rPr>
                <w:t>85</w:t>
              </w:r>
            </w:hyperlink>
          </w:p>
        </w:tc>
        <w:tc>
          <w:tcPr>
            <w:tcW w:w="0" w:type="dxa"/>
            <w:vAlign w:val="bottom"/>
          </w:tcPr>
          <w:p>
            <w:pPr>
              <w:spacing w:after="0"/>
              <w:rPr>
                <w:sz w:val="1"/>
                <w:szCs w:val="1"/>
                <w:color w:val="auto"/>
              </w:rPr>
            </w:pPr>
          </w:p>
        </w:tc>
      </w:tr>
      <w:tr>
        <w:trPr>
          <w:trHeight w:val="196"/>
        </w:trPr>
        <w:tc>
          <w:tcPr>
            <w:tcW w:w="630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90">
              <w:r>
                <w:rPr>
                  <w:rFonts w:ascii="Arial" w:cs="Arial" w:eastAsia="Arial" w:hAnsi="Arial"/>
                  <w:sz w:val="18"/>
                  <w:szCs w:val="18"/>
                  <w:color w:val="0000EE"/>
                  <w:w w:val="88"/>
                </w:rPr>
                <w:t>Management's Discussion and Analysis of Financial Condition and Results of Operations</w:t>
              </w:r>
            </w:hyperlink>
          </w:p>
        </w:tc>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0">
              <w:r>
                <w:rPr>
                  <w:rFonts w:ascii="Arial" w:cs="Arial" w:eastAsia="Arial" w:hAnsi="Arial"/>
                  <w:sz w:val="18"/>
                  <w:szCs w:val="18"/>
                  <w:color w:val="0000EE"/>
                  <w:w w:val="79"/>
                </w:rPr>
                <w:t>86</w:t>
              </w:r>
            </w:hyperlink>
          </w:p>
        </w:tc>
        <w:tc>
          <w:tcPr>
            <w:tcW w:w="0" w:type="dxa"/>
            <w:vAlign w:val="bottom"/>
          </w:tcPr>
          <w:p>
            <w:pPr>
              <w:spacing w:after="0"/>
              <w:rPr>
                <w:sz w:val="1"/>
                <w:szCs w:val="1"/>
                <w:color w:val="auto"/>
              </w:rPr>
            </w:pPr>
          </w:p>
        </w:tc>
      </w:tr>
      <w:tr>
        <w:trPr>
          <w:trHeight w:val="196"/>
        </w:trPr>
        <w:tc>
          <w:tcPr>
            <w:tcW w:w="640" w:type="dxa"/>
            <w:vAlign w:val="bottom"/>
            <w:gridSpan w:val="3"/>
          </w:tcPr>
          <w:p>
            <w:pPr>
              <w:spacing w:after="0" w:line="196" w:lineRule="exact"/>
              <w:rPr>
                <w:rFonts w:ascii="Arial" w:cs="Arial" w:eastAsia="Arial" w:hAnsi="Arial"/>
                <w:sz w:val="18"/>
                <w:szCs w:val="18"/>
                <w:color w:val="0000EE"/>
                <w:w w:val="84"/>
              </w:rPr>
            </w:pPr>
            <w:hyperlink w:anchor="page106">
              <w:r>
                <w:rPr>
                  <w:rFonts w:ascii="Arial" w:cs="Arial" w:eastAsia="Arial" w:hAnsi="Arial"/>
                  <w:sz w:val="18"/>
                  <w:szCs w:val="18"/>
                  <w:color w:val="0000EE"/>
                  <w:w w:val="84"/>
                </w:rPr>
                <w:t>Business</w:t>
              </w:r>
            </w:hyperlink>
          </w:p>
        </w:tc>
        <w:tc>
          <w:tcPr>
            <w:tcW w:w="7920" w:type="dxa"/>
            <w:vAlign w:val="bottom"/>
            <w:gridSpan w:val="19"/>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102</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2"/>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Management</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153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2"/>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Executive Compensation</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162</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gridSpan w:val="13"/>
          </w:tcPr>
          <w:p>
            <w:pPr>
              <w:spacing w:after="0" w:line="196" w:lineRule="exact"/>
              <w:rPr>
                <w:rFonts w:ascii="Arial" w:cs="Arial" w:eastAsia="Arial" w:hAnsi="Arial"/>
                <w:sz w:val="18"/>
                <w:szCs w:val="18"/>
                <w:color w:val="0000EE"/>
                <w:w w:val="97"/>
              </w:rPr>
            </w:pPr>
            <w:hyperlink w:anchor="page177">
              <w:r>
                <w:rPr>
                  <w:rFonts w:ascii="Arial" w:cs="Arial" w:eastAsia="Arial" w:hAnsi="Arial"/>
                  <w:sz w:val="18"/>
                  <w:szCs w:val="18"/>
                  <w:color w:val="0000EE"/>
                  <w:w w:val="97"/>
                </w:rPr>
                <w:t>Principal Stockholders</w:t>
              </w:r>
            </w:hyperlink>
          </w:p>
        </w:tc>
        <w:tc>
          <w:tcPr>
            <w:tcW w:w="6800" w:type="dxa"/>
            <w:vAlign w:val="bottom"/>
            <w:gridSpan w:val="9"/>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173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gridSpan w:val="15"/>
          </w:tcPr>
          <w:p>
            <w:pPr>
              <w:spacing w:after="0" w:line="196" w:lineRule="exact"/>
              <w:rPr>
                <w:rFonts w:ascii="Arial" w:cs="Arial" w:eastAsia="Arial" w:hAnsi="Arial"/>
                <w:sz w:val="18"/>
                <w:szCs w:val="18"/>
                <w:color w:val="0000EE"/>
                <w:w w:val="90"/>
              </w:rPr>
            </w:pPr>
            <w:hyperlink w:anchor="page180">
              <w:r>
                <w:rPr>
                  <w:rFonts w:ascii="Arial" w:cs="Arial" w:eastAsia="Arial" w:hAnsi="Arial"/>
                  <w:sz w:val="18"/>
                  <w:szCs w:val="18"/>
                  <w:color w:val="0000EE"/>
                  <w:w w:val="90"/>
                </w:rPr>
                <w:t>Description of Capital Stock</w:t>
              </w:r>
            </w:hyperlink>
          </w:p>
        </w:tc>
        <w:tc>
          <w:tcPr>
            <w:tcW w:w="6540" w:type="dxa"/>
            <w:vAlign w:val="bottom"/>
            <w:gridSpan w:val="7"/>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176</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7"/>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gridSpan w:val="17"/>
          </w:tcPr>
          <w:p>
            <w:pPr>
              <w:spacing w:after="0" w:line="196" w:lineRule="exact"/>
              <w:rPr>
                <w:rFonts w:ascii="Arial" w:cs="Arial" w:eastAsia="Arial" w:hAnsi="Arial"/>
                <w:sz w:val="18"/>
                <w:szCs w:val="18"/>
                <w:color w:val="0000EE"/>
                <w:w w:val="88"/>
              </w:rPr>
            </w:pPr>
            <w:hyperlink w:anchor="page185">
              <w:r>
                <w:rPr>
                  <w:rFonts w:ascii="Arial" w:cs="Arial" w:eastAsia="Arial" w:hAnsi="Arial"/>
                  <w:sz w:val="18"/>
                  <w:szCs w:val="18"/>
                  <w:color w:val="0000EE"/>
                  <w:w w:val="88"/>
                </w:rPr>
                <w:t>Shares Eligible for Future Sale</w:t>
              </w:r>
            </w:hyperlink>
          </w:p>
        </w:tc>
        <w:tc>
          <w:tcPr>
            <w:tcW w:w="6380" w:type="dxa"/>
            <w:vAlign w:val="bottom"/>
            <w:gridSpan w:val="5"/>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181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8"/>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0" w:type="dxa"/>
            <w:vAlign w:val="bottom"/>
            <w:gridSpan w:val="20"/>
          </w:tcPr>
          <w:p>
            <w:pPr>
              <w:spacing w:after="0" w:line="196" w:lineRule="exact"/>
              <w:rPr>
                <w:rFonts w:ascii="Arial" w:cs="Arial" w:eastAsia="Arial" w:hAnsi="Arial"/>
                <w:sz w:val="18"/>
                <w:szCs w:val="18"/>
                <w:color w:val="0000EE"/>
                <w:w w:val="88"/>
              </w:rPr>
            </w:pPr>
            <w:hyperlink w:anchor="page188">
              <w:r>
                <w:rPr>
                  <w:rFonts w:ascii="Arial" w:cs="Arial" w:eastAsia="Arial" w:hAnsi="Arial"/>
                  <w:sz w:val="18"/>
                  <w:szCs w:val="18"/>
                  <w:color w:val="0000EE"/>
                  <w:w w:val="88"/>
                </w:rPr>
                <w:t>Material U.S. Federal Income Tax Considerations to Non-U.S. Holders</w:t>
              </w:r>
            </w:hyperlink>
          </w:p>
        </w:tc>
        <w:tc>
          <w:tcPr>
            <w:tcW w:w="3560" w:type="dxa"/>
            <w:vAlign w:val="bottom"/>
            <w:gridSpan w:val="2"/>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184</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8"/>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7"/>
          </w:tcPr>
          <w:p>
            <w:pPr>
              <w:spacing w:after="0" w:line="196" w:lineRule="exact"/>
              <w:rPr>
                <w:rFonts w:ascii="Arial" w:cs="Arial" w:eastAsia="Arial" w:hAnsi="Arial"/>
                <w:sz w:val="18"/>
                <w:szCs w:val="18"/>
                <w:color w:val="0000EE"/>
                <w:w w:val="93"/>
              </w:rPr>
            </w:pPr>
            <w:hyperlink w:anchor="page192">
              <w:r>
                <w:rPr>
                  <w:rFonts w:ascii="Arial" w:cs="Arial" w:eastAsia="Arial" w:hAnsi="Arial"/>
                  <w:sz w:val="18"/>
                  <w:szCs w:val="18"/>
                  <w:color w:val="0000EE"/>
                  <w:w w:val="93"/>
                </w:rPr>
                <w:t>Underwriting</w:t>
              </w:r>
            </w:hyperlink>
          </w:p>
        </w:tc>
        <w:tc>
          <w:tcPr>
            <w:tcW w:w="4040" w:type="dxa"/>
            <w:vAlign w:val="bottom"/>
            <w:gridSpan w:val="13"/>
          </w:tcPr>
          <w:p>
            <w:pPr>
              <w:spacing w:after="0"/>
              <w:rPr>
                <w:sz w:val="17"/>
                <w:szCs w:val="17"/>
                <w:color w:val="auto"/>
              </w:rPr>
            </w:pPr>
          </w:p>
        </w:tc>
        <w:tc>
          <w:tcPr>
            <w:tcW w:w="3560" w:type="dxa"/>
            <w:vAlign w:val="bottom"/>
            <w:gridSpan w:val="2"/>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188</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8"/>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760" w:type="dxa"/>
            <w:vAlign w:val="bottom"/>
            <w:gridSpan w:val="4"/>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2"/>
          </w:tcPr>
          <w:p>
            <w:pPr>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Legal Matters</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196</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7"/>
            <w:shd w:val="clear" w:color="auto" w:fill="0000EE"/>
          </w:tcPr>
          <w:p>
            <w:pPr>
              <w:spacing w:after="0" w:line="20" w:lineRule="exact"/>
              <w:rPr>
                <w:sz w:val="1"/>
                <w:szCs w:val="1"/>
                <w:color w:val="auto"/>
              </w:rPr>
            </w:pPr>
          </w:p>
        </w:tc>
        <w:tc>
          <w:tcPr>
            <w:tcW w:w="1120" w:type="dxa"/>
            <w:vAlign w:val="bottom"/>
            <w:gridSpan w:val="8"/>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760" w:type="dxa"/>
            <w:vAlign w:val="bottom"/>
            <w:gridSpan w:val="4"/>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8"/>
          </w:tcPr>
          <w:p>
            <w:pPr>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Experts</w:t>
              </w:r>
            </w:hyperlink>
          </w:p>
        </w:tc>
        <w:tc>
          <w:tcPr>
            <w:tcW w:w="7580" w:type="dxa"/>
            <w:vAlign w:val="bottom"/>
            <w:gridSpan w:val="14"/>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196</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560" w:type="dxa"/>
            <w:vAlign w:val="bottom"/>
            <w:gridSpan w:val="15"/>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760" w:type="dxa"/>
            <w:vAlign w:val="bottom"/>
            <w:gridSpan w:val="4"/>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2"/>
          </w:tcPr>
          <w:p>
            <w:pPr>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Where You Can Find More Information</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196</w:t>
              </w:r>
            </w:hyperlink>
          </w:p>
        </w:tc>
        <w:tc>
          <w:tcPr>
            <w:tcW w:w="0" w:type="dxa"/>
            <w:vAlign w:val="bottom"/>
          </w:tcPr>
          <w:p>
            <w:pPr>
              <w:spacing w:after="0"/>
              <w:rPr>
                <w:sz w:val="1"/>
                <w:szCs w:val="1"/>
                <w:color w:val="auto"/>
              </w:rPr>
            </w:pPr>
          </w:p>
        </w:tc>
      </w:tr>
      <w:tr>
        <w:trPr>
          <w:trHeight w:val="196"/>
        </w:trPr>
        <w:tc>
          <w:tcPr>
            <w:tcW w:w="28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Index to Financial Statements</w:t>
              </w:r>
            </w:hyperlink>
          </w:p>
        </w:tc>
        <w:tc>
          <w:tcPr>
            <w:tcW w:w="576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rPr>
                <w:rFonts w:ascii="Arial" w:cs="Arial" w:eastAsia="Arial" w:hAnsi="Arial"/>
                <w:sz w:val="15"/>
                <w:szCs w:val="15"/>
                <w:color w:val="0000EE"/>
                <w:w w:val="70"/>
              </w:rPr>
            </w:pPr>
            <w:hyperlink w:anchor="page201">
              <w:r>
                <w:rPr>
                  <w:rFonts w:ascii="Arial" w:cs="Arial" w:eastAsia="Arial" w:hAnsi="Arial"/>
                  <w:sz w:val="15"/>
                  <w:szCs w:val="15"/>
                  <w:color w:val="0000EE"/>
                  <w:w w:val="70"/>
                </w:rPr>
                <w:t>F-1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351"/>
        <w:spacing w:after="0" w:line="262" w:lineRule="auto"/>
        <w:rPr>
          <w:sz w:val="20"/>
          <w:szCs w:val="20"/>
          <w:color w:val="auto"/>
        </w:rPr>
      </w:pPr>
      <w:r>
        <w:rPr>
          <w:rFonts w:ascii="Arial" w:cs="Arial" w:eastAsia="Arial" w:hAnsi="Arial"/>
          <w:sz w:val="18"/>
          <w:szCs w:val="18"/>
          <w:b w:val="1"/>
          <w:bCs w:val="1"/>
          <w:color w:val="auto"/>
        </w:rPr>
        <w:t>Through and including October 27, 2019 (the 25th day after the date of this prospectus),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92"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are responsible for the information contained in this prospectus. We have not, and the underwriters have not, authorized anyone to provide you with any information other than what is provided in this prospectus. We and the underwriters take no responsibility for, and can provide no assurance as to the reliability of, any other information that others may give you or any representation that others may make to you. We are not, and the underwriters are not, making an offer to sell these securities in any jurisdiction where the offer or sale is not permitted. The information in this prospectus is accurate only as of the date of this prospectus, regardless of the time of any sale of the common stock. Our business, liquidity position, financial condition, prospects or results of operations may have changed since the date of this prospectus.</w:t>
      </w:r>
    </w:p>
    <w:p>
      <w:pPr>
        <w:spacing w:after="0" w:line="192" w:lineRule="exact"/>
        <w:rPr>
          <w:sz w:val="20"/>
          <w:szCs w:val="20"/>
          <w:color w:val="auto"/>
        </w:rPr>
      </w:pPr>
    </w:p>
    <w:p>
      <w:pPr>
        <w:ind w:right="600" w:firstLine="351"/>
        <w:spacing w:after="0" w:line="275" w:lineRule="auto"/>
        <w:rPr>
          <w:sz w:val="20"/>
          <w:szCs w:val="20"/>
          <w:color w:val="auto"/>
        </w:rPr>
      </w:pPr>
      <w:r>
        <w:rPr>
          <w:rFonts w:ascii="Arial" w:cs="Arial" w:eastAsia="Arial" w:hAnsi="Arial"/>
          <w:sz w:val="18"/>
          <w:szCs w:val="18"/>
          <w:b w:val="1"/>
          <w:bCs w:val="1"/>
          <w:color w:val="auto"/>
        </w:rPr>
        <w:t>This prospectus contains forward-looking statements that are subject to a number of risks and uncertainties, many of which are beyond our control. See "Risk Factors" and "Special Note Regarding Forward-Looking Statements."</w:t>
      </w:r>
    </w:p>
    <w:p>
      <w:pPr>
        <w:spacing w:after="0" w:line="180"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For investors outside the United States: We have not, and the underwriters have not, done anything that would permit this offering or possession or distribution of this prospectus in any jurisdiction where action for that purpose is required, other than in the United States. Persons outside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 w:name="page4"/>
    <w:bookmarkEnd w:id="3"/>
    <w:p>
      <w:pPr>
        <w:spacing w:after="0" w:line="268" w:lineRule="auto"/>
        <w:rPr>
          <w:sz w:val="20"/>
          <w:szCs w:val="20"/>
          <w:color w:val="auto"/>
        </w:rPr>
      </w:pPr>
      <w:r>
        <w:rPr>
          <w:rFonts w:ascii="Arial" w:cs="Arial" w:eastAsia="Arial" w:hAnsi="Arial"/>
          <w:sz w:val="18"/>
          <w:szCs w:val="18"/>
          <w:color w:val="auto"/>
        </w:rPr>
        <w:t>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8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this prospectus, unless otherwise stated or the context otherwise requires, references to "Aprea," "the company," "we," "us," "our" and similar references refer to Aprea Therapeutics, Inc. and its consolidated subsidiaries, after giving effect to the Holdco Reorganization, and to Aprea Therapeutics AB and its consolidated subsidiaries prior to giving effect to the Holdco Reorganization.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of financial and operating data</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Unless otherwise indicated, the historical financial and operating information presented in this prospectus as of and for the years ended December 31, 2017 and 2018 and for the six months ended June 30, 2018 and 2019 is that of Aprea Therapeutics AB.</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Certain amounts and percentages included in this prospectus have been rounded. Accordingly, in certain instances, the sum of the numbers in a column of a table may not exactly equal the total figure for that column.</w:t>
      </w:r>
    </w:p>
    <w:p>
      <w:pPr>
        <w:spacing w:after="0" w:line="186"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The audited consolidated financial statements for the years ended December 31, 2017 and 2018 and the notes thereto, the unaudited interim condensed consolidated financial statements for the six months ended June 30, 2018 and 2019 and the notes thereto, represent the operations of Aprea Therapeutics AB and its consolidated subsidiaries and do not give effect to the Holdco Reorganization. The balance sheet of Aprea Therapeutics, Inc. at July 11, 2019, included in this registration statement, does not give effect to the Holdco Reorganization. On September 20, 2019, we consummated the corporate reorganization as described under the section titled "Corporate Reorganization." In this prospectus, we refer to this transaction as the "Holdco Reorganization." We expect that the Holdco Reorganization will not have a material effect on our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market data</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obtained the industry, market and competitive position data used throughout this prospectus from our own internal estimates and research, as well as from independent market research, industry and general publications and surveys, governmental agencies and publicly available information in addition to research, surveys and studies conducted by third parties.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In addition, while we believe the industry, market and competitive position data included in this prospectus is reliable and based on reasonable assumptions, such data involve risks and uncertainties and are subject to change based on various factors, including those discussed in "Risk Factors." These and other factors could cause results to differ materially from those expressed in the estimates made by third parties or by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tradenames</w:t>
      </w:r>
    </w:p>
    <w:p>
      <w:pPr>
        <w:spacing w:after="0" w:line="231"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Aprea and other trademarks or service marks of Aprea appearing in this prospectus are the property of Aprea. The other trademarks, trade names and service marks appearing in this prospectus are the property of their respective owners. Solely for convenience, the trademarks and trade names in this prospectus are referred to without the ® and ™ symbols, but such references should not be construed as any indicator that their respective owners will not assert, to the fullest extent under applicable law, their rights thereto.</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361315</wp:posOffset>
            </wp:positionV>
            <wp:extent cx="7250430" cy="57931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5793105"/>
                    </a:xfrm>
                    <a:prstGeom prst="rect">
                      <a:avLst/>
                    </a:prstGeom>
                    <a:noFill/>
                  </pic:spPr>
                </pic:pic>
              </a:graphicData>
            </a:graphic>
          </wp:anchor>
        </w:drawing>
        <w:t>Summary</w:t>
      </w:r>
    </w:p>
    <w:p>
      <w:pPr>
        <w:spacing w:after="0" w:line="231"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i w:val="1"/>
          <w:iCs w:val="1"/>
          <w:color w:val="auto"/>
        </w:rPr>
        <w:t>This summary highlights, and is qualified in its entirety by, the more detailed information and financial statements included elsewhere in this prospectus. This summary does not contain all of the information that may be important to you. You should read and carefully consider the entire prospectus, especially our financial statements and the notes thereto appearing at the end of this prospectus and the "Risk Factors" section of this prospectus, before deciding to invest in our common stock. Except as otherwise indicated herein or as the context otherwise requires, references in this prospectus to "Aprea," "the company," "we," "us" and "our" refer to Aprea Therapeutics, Inc. and its consolidated subsidiaries, after giving effect to the Holdco Reorganization described herein, and to Aprea Therapeutics AB, referred to herein as Aprea AB, and its consolidated subsidiaries prior to giving effect to the Holdco Reorganization.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Aprea Therapeutics overview</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 xml:space="preserve">We are a clinical-stage biopharmaceutical company focused on developing and commercializing novel cancer therapeutics that reactivate mutant p53 tumor suppressor protein. p53 is the protein expressed from the </w:t>
      </w:r>
      <w:r>
        <w:rPr>
          <w:rFonts w:ascii="Arial" w:cs="Arial" w:eastAsia="Arial" w:hAnsi="Arial"/>
          <w:sz w:val="16"/>
          <w:szCs w:val="16"/>
          <w:i w:val="1"/>
          <w:iCs w:val="1"/>
          <w:color w:val="auto"/>
        </w:rPr>
        <w:t>TP53</w:t>
      </w:r>
      <w:r>
        <w:rPr>
          <w:rFonts w:ascii="Arial" w:cs="Arial" w:eastAsia="Arial" w:hAnsi="Arial"/>
          <w:sz w:val="16"/>
          <w:szCs w:val="16"/>
          <w:color w:val="auto"/>
        </w:rPr>
        <w:t xml:space="preserve"> gene, the most commonly mutated gene in cancer. We believe that mutant p53 is an attractive therapeutic target due to the high incidence of p53 mutations across a range of cancer types and its involvement in key cellular activities such as apoptosis. Cancer patients with mutant p53 face a significantly inferior prognosis even when treated with the current standard of care, and a large unmet need for these patients remains. Our lead product candidate, APR-246, is a small molecule p53 reactivator that is in late-stage clinical development for hematologic malignancies, including myelodysplastic syndromes, or MDS, and acute myeloid leukemia, or AML. APR-246 has received Orphan Drug and Fast Track designations from the FDA for MDS, and Orphan Drug designation from the EMA for MDS, AML and ovarian cancer, and we believe APR-246 will be a first-in-class therapy if approved by applicable regulators. We have commenced a pivotal Phase 3 trial of APR-246 with azacitidine for frontline treatment of </w:t>
      </w:r>
      <w:r>
        <w:rPr>
          <w:rFonts w:ascii="Arial" w:cs="Arial" w:eastAsia="Arial" w:hAnsi="Arial"/>
          <w:sz w:val="16"/>
          <w:szCs w:val="16"/>
          <w:i w:val="1"/>
          <w:iCs w:val="1"/>
          <w:color w:val="auto"/>
        </w:rPr>
        <w:t>TP53</w:t>
      </w:r>
      <w:r>
        <w:rPr>
          <w:rFonts w:ascii="Arial" w:cs="Arial" w:eastAsia="Arial" w:hAnsi="Arial"/>
          <w:sz w:val="16"/>
          <w:szCs w:val="16"/>
          <w:color w:val="auto"/>
        </w:rPr>
        <w:t xml:space="preserve"> mutant MDS and expect initial data from this trial in the second half of 2020. Our pivotal Phase 3 trial is supported by data from two ongoing Phase 1b/2 investigator initiated trials, one in the U.S. and one in France, testing APR-246 with azacitidine as frontline treatment in </w:t>
      </w:r>
      <w:r>
        <w:rPr>
          <w:rFonts w:ascii="Arial" w:cs="Arial" w:eastAsia="Arial" w:hAnsi="Arial"/>
          <w:sz w:val="16"/>
          <w:szCs w:val="16"/>
          <w:i w:val="1"/>
          <w:iCs w:val="1"/>
          <w:color w:val="auto"/>
        </w:rPr>
        <w:t xml:space="preserve">TP53 </w:t>
      </w:r>
      <w:r>
        <w:rPr>
          <w:rFonts w:ascii="Arial" w:cs="Arial" w:eastAsia="Arial" w:hAnsi="Arial"/>
          <w:sz w:val="16"/>
          <w:szCs w:val="16"/>
          <w:color w:val="auto"/>
        </w:rPr>
        <w:t>mutant MDS and AML patients.</w:t>
      </w:r>
    </w:p>
    <w:p>
      <w:pPr>
        <w:spacing w:after="0" w:line="18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In the ongoing U.S. Phase 1b/2 trial, sponsored by Dr. David Sallman of the H. Lee Moffitt Cancer Center and Research Institute, or Moffitt, we have observed an objective response rate, or ORR, of 88% and a complete remission, or CR, rate of 59% in 41 response-evaluable MDS/AML patients treated with APR-246 and azacitidine, as of July 2019 and we expect a final CR endpoint in the second half of 2019. In MDS patients, the CR rate was 61%, with an additional 27% achieving non-CR responses. In AML patients, the CR rate was 50%, with an additional 38% achieving non-CR responses. In addition, 46% of evaluable patients were able to discontinue treatment in order to proceed to allogeneic hematopoietic stem cell transplantation, or allo-HCT. Allo-HCT is currently the only recognized therapy believed to increase the likelihood of long term survival for </w:t>
      </w:r>
      <w:r>
        <w:rPr>
          <w:rFonts w:ascii="Arial" w:cs="Arial" w:eastAsia="Arial" w:hAnsi="Arial"/>
          <w:sz w:val="16"/>
          <w:szCs w:val="16"/>
          <w:i w:val="1"/>
          <w:iCs w:val="1"/>
          <w:color w:val="auto"/>
        </w:rPr>
        <w:t>TP53</w:t>
      </w:r>
      <w:r>
        <w:rPr>
          <w:rFonts w:ascii="Arial" w:cs="Arial" w:eastAsia="Arial" w:hAnsi="Arial"/>
          <w:sz w:val="16"/>
          <w:szCs w:val="16"/>
          <w:color w:val="auto"/>
        </w:rPr>
        <w:t xml:space="preserve"> mutant MDS and AML patients in remission. In the ongoing French Phase 1b/2 trial, sponsored by Groupe Francophone des Myelodysplasies, or GFM, under lead investigator Prof. Pierre Fenaux, we have observed an ORR of 75% and a CR rate of 56% in 16 response-evaluable patients treated with APR-246 and azacitidine, as of July 2019 and we expect a final CR endpoint in the first half of 2020. In MDS patients, the CR rate was 55%, with an additional 18% achieving non-CR responses. In AML patients, the CR rate was 60%, with an additional 20% achieving non-CR responses. We expect the results of our pivotal Phase 3 trial and the U.S. and French Phase 1b/2 trials will be submitted in support of marketing applications to the FDA and EMA. We are also developing a next-generation small molecule p53 reactivator, APR-548, for potential use in multiple hematologic malignancies and other oncologic indications, and expect to file an IND with the FDA in the first half of 2020.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337185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480" w:top="1219" w:right="499" w:bottom="1440" w:gutter="0" w:footer="0" w:header="0"/>
        </w:sectPr>
      </w:pPr>
    </w:p>
    <w:bookmarkStart w:id="5" w:name="page6"/>
    <w:bookmarkEnd w:id="5"/>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318135</wp:posOffset>
            </wp:positionV>
            <wp:extent cx="7250430" cy="74396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7439660"/>
                    </a:xfrm>
                    <a:prstGeom prst="rect">
                      <a:avLst/>
                    </a:prstGeom>
                    <a:noFill/>
                  </pic:spPr>
                </pic:pic>
              </a:graphicData>
            </a:graphic>
          </wp:anchor>
        </w:drawing>
        <w:t>currently retain global development and commercialization rights to all of our preclinical and clinical product candidates, which are summarized in the following figure: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40" w:hanging="538"/>
        <w:spacing w:after="0"/>
        <w:tabs>
          <w:tab w:leader="none" w:pos="54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Investigator-initiated trial</w:t>
      </w:r>
    </w:p>
    <w:p>
      <w:pPr>
        <w:spacing w:after="0" w:line="122" w:lineRule="exact"/>
        <w:rPr>
          <w:rFonts w:ascii="Arial" w:cs="Arial" w:eastAsia="Arial" w:hAnsi="Arial"/>
          <w:sz w:val="14"/>
          <w:szCs w:val="14"/>
          <w:color w:val="auto"/>
        </w:rPr>
      </w:pPr>
    </w:p>
    <w:p>
      <w:pPr>
        <w:ind w:left="540" w:hanging="538"/>
        <w:spacing w:after="0"/>
        <w:tabs>
          <w:tab w:leader="none" w:pos="540" w:val="left"/>
        </w:tabs>
        <w:numPr>
          <w:ilvl w:val="0"/>
          <w:numId w:val="2"/>
        </w:numPr>
        <w:rPr>
          <w:rFonts w:ascii="Arial" w:cs="Arial" w:eastAsia="Arial" w:hAnsi="Arial"/>
          <w:sz w:val="14"/>
          <w:szCs w:val="14"/>
          <w:color w:val="auto"/>
        </w:rPr>
      </w:pPr>
      <w:r>
        <w:rPr>
          <w:rFonts w:ascii="Arial" w:cs="Arial" w:eastAsia="Arial" w:hAnsi="Arial"/>
          <w:sz w:val="14"/>
          <w:szCs w:val="14"/>
          <w:color w:val="auto"/>
        </w:rPr>
        <w:t>With or without azacitidine</w:t>
      </w:r>
    </w:p>
    <w:p>
      <w:pPr>
        <w:spacing w:after="0" w:line="20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believe that targeting p53 and thereby reactivating key intrinsic cellular functions has the potential to significantly impact patients' lives and treatment strategies for a wide variety of cancers. p53 is a tumor suppressor protein that in its normal state functions to sense DNA damage and induce cell cycle arrest, DNA damage repair, senescence and cellular apoptosis. Mutant p53 is an attractive target because it is widely mutated across hematologic and solid tumors and is associated with an aggressive clinical and molecular phenotype. In preclinical studies and clinical trials, mutations in p53 and the apoptotic pathway have been shown to play a key role in cancer genesis, proliferation and resistance to currently marketed therapeutic agents. Many approved and clinical stage oncology drugs are more effective with a functional p53 pathway. Our approach is to restore normal function to p53, thereby re-enabling a cell's ability to undergo apoptosis. Accordingly, we believe that by targeting p53, our drug candidates may enhance the ability of other anti-cancer therapies to induce cancer cell death. In addition, we believe that our approach may counteract resistance mechanisms that characterize many of the most aggressive cancers.</w:t>
      </w:r>
    </w:p>
    <w:p>
      <w:pPr>
        <w:spacing w:after="0" w:line="174"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 xml:space="preserve">We believe there is a significant market opportunity for therapies targeting mutant p53 because these mutations occur in more than half of all tumors and confer an inferior prognosis relative to patients with wild type p53. Based on the importance of p53 mutations as disease-driver mutations, the sensitivity of hematopoietic cells to oxidative stress and continued unmet medical need, we have initially focused our clinical development on hematological malignancies, MDS and AML, with mutations in the </w:t>
      </w:r>
      <w:r>
        <w:rPr>
          <w:rFonts w:ascii="Arial" w:cs="Arial" w:eastAsia="Arial" w:hAnsi="Arial"/>
          <w:sz w:val="18"/>
          <w:szCs w:val="18"/>
          <w:i w:val="1"/>
          <w:iCs w:val="1"/>
          <w:color w:val="auto"/>
        </w:rPr>
        <w:t>TP53</w:t>
      </w:r>
      <w:r>
        <w:rPr>
          <w:rFonts w:ascii="Arial" w:cs="Arial" w:eastAsia="Arial" w:hAnsi="Arial"/>
          <w:sz w:val="18"/>
          <w:szCs w:val="18"/>
          <w:color w:val="auto"/>
        </w:rPr>
        <w:t xml:space="preserve"> gene.</w:t>
      </w:r>
    </w:p>
    <w:p>
      <w:pPr>
        <w:spacing w:after="0" w:line="197"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MDS is a collection of bone marrow disorders in which malignant hematopoietic cells prevent the production of healthy, mature blood cells. As of 2019, there are an estimated 200,000 MDS patients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480" w:top="941" w:right="5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318135</wp:posOffset>
            </wp:positionV>
            <wp:extent cx="7250430" cy="56553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5655310"/>
                    </a:xfrm>
                    <a:prstGeom prst="rect">
                      <a:avLst/>
                    </a:prstGeom>
                    <a:noFill/>
                  </pic:spPr>
                </pic:pic>
              </a:graphicData>
            </a:graphic>
          </wp:anchor>
        </w:drawing>
        <w:t>worldwide, with 68,000 of these in the United States and 69,000 MDS patients across the five major markets of the European Union and Japan.</w:t>
      </w:r>
    </w:p>
    <w:p>
      <w:pPr>
        <w:spacing w:after="0" w:line="248" w:lineRule="exact"/>
        <w:rPr>
          <w:sz w:val="20"/>
          <w:szCs w:val="20"/>
          <w:color w:val="auto"/>
        </w:rPr>
      </w:pPr>
    </w:p>
    <w:p>
      <w:pPr>
        <w:ind w:right="120" w:firstLine="342"/>
        <w:spacing w:after="0" w:line="306" w:lineRule="auto"/>
        <w:rPr>
          <w:sz w:val="20"/>
          <w:szCs w:val="20"/>
          <w:color w:val="auto"/>
        </w:rPr>
      </w:pPr>
      <w:r>
        <w:rPr>
          <w:rFonts w:ascii="Arial" w:cs="Arial" w:eastAsia="Arial" w:hAnsi="Arial"/>
          <w:sz w:val="16"/>
          <w:szCs w:val="16"/>
          <w:color w:val="auto"/>
        </w:rPr>
        <w:t>AML is the most common form of adult leukemia, with the highest incidence in patients age 60 years and older. Like MDS, AML is characterized by proliferation of abnormal immature white blood cells which impair production of normal blood cells. There are an estimated 213,000 AML patients worldwide, with 37,000 of these in the United States, and 41,000 across the five major markets of the European Union and Japan.</w:t>
      </w:r>
    </w:p>
    <w:p>
      <w:pPr>
        <w:spacing w:after="0" w:line="161" w:lineRule="exact"/>
        <w:rPr>
          <w:sz w:val="20"/>
          <w:szCs w:val="20"/>
          <w:color w:val="auto"/>
        </w:rPr>
      </w:pPr>
    </w:p>
    <w:p>
      <w:pPr>
        <w:ind w:right="620" w:firstLine="351"/>
        <w:spacing w:after="0" w:line="306" w:lineRule="auto"/>
        <w:rPr>
          <w:sz w:val="20"/>
          <w:szCs w:val="20"/>
          <w:color w:val="auto"/>
        </w:rPr>
      </w:pPr>
      <w:r>
        <w:rPr>
          <w:rFonts w:ascii="Arial" w:cs="Arial" w:eastAsia="Arial" w:hAnsi="Arial"/>
          <w:sz w:val="16"/>
          <w:szCs w:val="16"/>
          <w:color w:val="auto"/>
        </w:rPr>
        <w:t xml:space="preserve">MDS and AML can develop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or may arise secondary to progression of other hematologic disorders or from chemotherapy or radiation treatment for a different, prior malignancy. Secondary MDS and AML carry a worse prognosis than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disease. Mutations in </w:t>
      </w:r>
      <w:r>
        <w:rPr>
          <w:rFonts w:ascii="Arial" w:cs="Arial" w:eastAsia="Arial" w:hAnsi="Arial"/>
          <w:sz w:val="16"/>
          <w:szCs w:val="16"/>
          <w:i w:val="1"/>
          <w:iCs w:val="1"/>
          <w:color w:val="auto"/>
        </w:rPr>
        <w:t>TP53</w:t>
      </w:r>
      <w:r>
        <w:rPr>
          <w:rFonts w:ascii="Arial" w:cs="Arial" w:eastAsia="Arial" w:hAnsi="Arial"/>
          <w:sz w:val="16"/>
          <w:szCs w:val="16"/>
          <w:color w:val="auto"/>
        </w:rPr>
        <w:t xml:space="preserve"> occur in approximately 20% of patients with newly diagnosed MDS/AML and in more than 30% of patients with therapy-related MDS/AML.</w:t>
      </w:r>
    </w:p>
    <w:p>
      <w:pPr>
        <w:spacing w:after="0" w:line="161"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 xml:space="preserve">Treatment with azacitidine is the standard of care for frontline therapy in </w:t>
      </w:r>
      <w:r>
        <w:rPr>
          <w:rFonts w:ascii="Arial" w:cs="Arial" w:eastAsia="Arial" w:hAnsi="Arial"/>
          <w:sz w:val="18"/>
          <w:szCs w:val="18"/>
          <w:i w:val="1"/>
          <w:iCs w:val="1"/>
          <w:color w:val="auto"/>
        </w:rPr>
        <w:t>TP53</w:t>
      </w:r>
      <w:r>
        <w:rPr>
          <w:rFonts w:ascii="Arial" w:cs="Arial" w:eastAsia="Arial" w:hAnsi="Arial"/>
          <w:sz w:val="18"/>
          <w:szCs w:val="18"/>
          <w:color w:val="auto"/>
        </w:rPr>
        <w:t xml:space="preserve"> mutant MDS and AML, with an ORR of approximately 40-50%, a CR rate of approximately 10-20% and median overall survival, or OS, of approximately 7-8 months. There are no established curative pharmacologic therapies for MDS and AML. Allo-HCT is currently the only recognized therapy believed to increase the likelihood of long term survival for </w:t>
      </w:r>
      <w:r>
        <w:rPr>
          <w:rFonts w:ascii="Arial" w:cs="Arial" w:eastAsia="Arial" w:hAnsi="Arial"/>
          <w:sz w:val="18"/>
          <w:szCs w:val="18"/>
          <w:i w:val="1"/>
          <w:iCs w:val="1"/>
          <w:color w:val="auto"/>
        </w:rPr>
        <w:t>TP53</w:t>
      </w:r>
      <w:r>
        <w:rPr>
          <w:rFonts w:ascii="Arial" w:cs="Arial" w:eastAsia="Arial" w:hAnsi="Arial"/>
          <w:sz w:val="18"/>
          <w:szCs w:val="18"/>
          <w:color w:val="auto"/>
        </w:rPr>
        <w:t xml:space="preserve"> mutant MDS and AML patients in remission; however, many patients are not candidates for allo-HCT due to lack of sufficient clinical response to therapy, advanced age, comorbidities or lack of a suitable donor. Unfortunately, even for those </w:t>
      </w:r>
      <w:r>
        <w:rPr>
          <w:rFonts w:ascii="Arial" w:cs="Arial" w:eastAsia="Arial" w:hAnsi="Arial"/>
          <w:sz w:val="18"/>
          <w:szCs w:val="18"/>
          <w:i w:val="1"/>
          <w:iCs w:val="1"/>
          <w:color w:val="auto"/>
        </w:rPr>
        <w:t>TP53</w:t>
      </w:r>
      <w:r>
        <w:rPr>
          <w:rFonts w:ascii="Arial" w:cs="Arial" w:eastAsia="Arial" w:hAnsi="Arial"/>
          <w:sz w:val="18"/>
          <w:szCs w:val="18"/>
          <w:color w:val="auto"/>
        </w:rPr>
        <w:t xml:space="preserve"> mutant MDS and AML patients who receive allo-HCT, the post-transplantation prognosis is poor: </w:t>
      </w:r>
      <w:r>
        <w:rPr>
          <w:rFonts w:ascii="Arial" w:cs="Arial" w:eastAsia="Arial" w:hAnsi="Arial"/>
          <w:sz w:val="18"/>
          <w:szCs w:val="18"/>
          <w:i w:val="1"/>
          <w:iCs w:val="1"/>
          <w:color w:val="auto"/>
        </w:rPr>
        <w:t>TP53</w:t>
      </w:r>
      <w:r>
        <w:rPr>
          <w:rFonts w:ascii="Arial" w:cs="Arial" w:eastAsia="Arial" w:hAnsi="Arial"/>
          <w:sz w:val="18"/>
          <w:szCs w:val="18"/>
          <w:color w:val="auto"/>
        </w:rPr>
        <w:t xml:space="preserve"> mutations are associated with a 4-fold increased risk of death and 1-year relapse-free survival of only 30% following transplantation.</w:t>
      </w:r>
    </w:p>
    <w:p>
      <w:pPr>
        <w:spacing w:after="0" w:line="20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 xml:space="preserve">Given the poor prognosis for patients with </w:t>
      </w:r>
      <w:r>
        <w:rPr>
          <w:rFonts w:ascii="Arial" w:cs="Arial" w:eastAsia="Arial" w:hAnsi="Arial"/>
          <w:sz w:val="18"/>
          <w:szCs w:val="18"/>
          <w:i w:val="1"/>
          <w:iCs w:val="1"/>
          <w:color w:val="auto"/>
        </w:rPr>
        <w:t>TP53</w:t>
      </w:r>
      <w:r>
        <w:rPr>
          <w:rFonts w:ascii="Arial" w:cs="Arial" w:eastAsia="Arial" w:hAnsi="Arial"/>
          <w:sz w:val="18"/>
          <w:szCs w:val="18"/>
          <w:color w:val="auto"/>
        </w:rPr>
        <w:t xml:space="preserve"> mutant MDS and AML, there is a significant need for more effective therapies in this population, particularly if such treatments have a favorable safety profile, and a mechanism of action that targets mutant p53 directly, and may be used in combination with existing or future treatment options.</w:t>
      </w:r>
    </w:p>
    <w:p>
      <w:pPr>
        <w:spacing w:after="0" w:line="19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assembled an outstanding team, which includes world-class scientific and clinical oncology leaders, to execute on our mission to create novel p53-reactivating therapies to help patients suffering with cancer. Together with our board of directors, our scientific founders and members of our management team have significant experience in drug discovery and development and finance. Collectively, we believe our team's strong capabilities position us to build a leading biotech company focused on developing novel cancer therapies to address the significant unmet medical need of patients with p53 mutant malignancies, for whom there are limited effective therapeutic options.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drug candidates</w:t>
      </w:r>
    </w:p>
    <w:p>
      <w:pPr>
        <w:spacing w:after="0" w:line="231"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Our lead product candidate, APR-246, is a small molecule that has demonstrated reactivation of mutant p53 in clinical trials. Promising clinical data support the application of APR-246 across a variety of hematologic malignancies and other oncologic indications. APR-246 is a pro-drug that is administered intravenously and forms the active moiety, 2-methylene-quinuclidin-3-one, or MQ, under physiological conditions. APR-246 has been shown to induce apoptosis in cancer cells with mutant p53 in Phase 1/2 trials. We believe the mechanism of action and current adverse event profile of APR-246 may provide the basis for its combination with both conventional and novel therapies, such as targeted therapies, chemotherapy, radiotherapy and immuno-therapy. APR-246 has received Orphan Drug and Fast Track designations from the FDA for MDS, and Orphan Drug designation from the EMA for MDS, AML and ovarian cancer.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480" w:top="941" w:right="479" w:bottom="1440" w:gutter="0" w:footer="0" w:header="0"/>
        </w:sectPr>
      </w:pPr>
    </w:p>
    <w:bookmarkStart w:id="7" w:name="page8"/>
    <w:bookmarkEnd w:id="7"/>
    <w:p>
      <w:pPr>
        <w:ind w:left="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318135</wp:posOffset>
            </wp:positionV>
            <wp:extent cx="7250430" cy="61188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6118860"/>
                    </a:xfrm>
                    <a:prstGeom prst="rect">
                      <a:avLst/>
                    </a:prstGeom>
                    <a:noFill/>
                  </pic:spPr>
                </pic:pic>
              </a:graphicData>
            </a:graphic>
          </wp:anchor>
        </w:drawing>
        <w:t>We are conducting and supporting multiple clinical trials of APR-246:</w:t>
      </w:r>
    </w:p>
    <w:p>
      <w:pPr>
        <w:spacing w:after="0" w:line="246" w:lineRule="exact"/>
        <w:rPr>
          <w:sz w:val="20"/>
          <w:szCs w:val="20"/>
          <w:color w:val="auto"/>
        </w:rPr>
      </w:pPr>
    </w:p>
    <w:p>
      <w:pPr>
        <w:ind w:left="1080" w:right="40" w:hanging="538"/>
        <w:spacing w:after="0" w:line="310"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Pivotal Phase 3 MDS Trial- </w:t>
      </w:r>
      <w:r>
        <w:rPr>
          <w:rFonts w:ascii="Arial" w:cs="Arial" w:eastAsia="Arial" w:hAnsi="Arial"/>
          <w:sz w:val="16"/>
          <w:szCs w:val="16"/>
          <w:color w:val="auto"/>
        </w:rPr>
        <w:t>We are currently enrolling a pivotal Phase 3 randomized, controlled trial evaluating APR-246 with azacitidine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 frontline therapy in HMA-naïve </w:t>
      </w:r>
      <w:r>
        <w:rPr>
          <w:rFonts w:ascii="Arial" w:cs="Arial" w:eastAsia="Arial" w:hAnsi="Arial"/>
          <w:sz w:val="16"/>
          <w:szCs w:val="16"/>
          <w:i w:val="1"/>
          <w:iCs w:val="1"/>
          <w:color w:val="auto"/>
        </w:rPr>
        <w:t>TP53</w:t>
      </w:r>
      <w:r>
        <w:rPr>
          <w:rFonts w:ascii="Arial" w:cs="Arial" w:eastAsia="Arial" w:hAnsi="Arial"/>
          <w:sz w:val="16"/>
          <w:szCs w:val="16"/>
          <w:color w:val="auto"/>
        </w:rPr>
        <w:t xml:space="preserve"> mutant MDS patients. The first patient was enrolled in January 2019 and we anticipate full enrollment in our Phase 3 trial in the first quarter of 2020 and top-line data from this trial in the second half of 2020.</w:t>
      </w:r>
    </w:p>
    <w:p>
      <w:pPr>
        <w:spacing w:after="0" w:line="164" w:lineRule="exact"/>
        <w:rPr>
          <w:rFonts w:ascii="Arial" w:cs="Arial" w:eastAsia="Arial" w:hAnsi="Arial"/>
          <w:sz w:val="16"/>
          <w:szCs w:val="16"/>
          <w:color w:val="auto"/>
        </w:rPr>
      </w:pPr>
    </w:p>
    <w:p>
      <w:pPr>
        <w:ind w:left="1080" w:right="60" w:hanging="538"/>
        <w:spacing w:after="0" w:line="287"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U.S. Phase 1b/2 MDS/AML Trial- </w:t>
      </w:r>
      <w:r>
        <w:rPr>
          <w:rFonts w:ascii="Arial" w:cs="Arial" w:eastAsia="Arial" w:hAnsi="Arial"/>
          <w:sz w:val="16"/>
          <w:szCs w:val="16"/>
          <w:color w:val="auto"/>
        </w:rPr>
        <w:t>We are supporting an investigator-initiated Phase 1b/2 single-arm, open-label trial in the United States,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sponsored by Dr. David Sallman of the H. Lee Moffitt Cancer Center and Research Institute, or Moffitt, evaluating APR-246 with azacitidine as frontline therapy in HMA-naïve patients with </w:t>
      </w:r>
      <w:r>
        <w:rPr>
          <w:rFonts w:ascii="Arial" w:cs="Arial" w:eastAsia="Arial" w:hAnsi="Arial"/>
          <w:sz w:val="16"/>
          <w:szCs w:val="16"/>
          <w:i w:val="1"/>
          <w:iCs w:val="1"/>
          <w:color w:val="auto"/>
        </w:rPr>
        <w:t>TP53</w:t>
      </w:r>
      <w:r>
        <w:rPr>
          <w:rFonts w:ascii="Arial" w:cs="Arial" w:eastAsia="Arial" w:hAnsi="Arial"/>
          <w:sz w:val="16"/>
          <w:szCs w:val="16"/>
          <w:color w:val="auto"/>
        </w:rPr>
        <w:t xml:space="preserve"> mutant MDS or AML. We are collaborating with Moffitt on this trial by supplying APR-246, in addition to providing financial support. The primary endpoint of the trial is CR rate and enrollment has completed with 55 patients. Top-line results on the CR rate primary endpoint and median duration of response are expected in the second half of 2019. The regimen achieved an ORR of 88% and a CR rate of 59% in 41 response-evaluable patients as of July 2019. In MDS patients, the CR rate was 61%, with an additional 27% achieving non-CR responses. In AML patients, the CR rate was 50%, with an additional 38% achieving non-CR responses. In addition, 46% of evaluable MDS/AML patients were able to discontinue treatment in order to proceed to allo-HCT. By intention-to-treat analysis, and with a median follow up of 10.5 months, median OS was 11.6 months (95% confidence interval: 9.2 - 14.0 months) with significantly prolonged OS of 12.8 months in responding patients versus 3.9 months in non-responding patients (p &lt;0.0001).</w:t>
      </w:r>
    </w:p>
    <w:p>
      <w:pPr>
        <w:spacing w:after="0" w:line="186" w:lineRule="exact"/>
        <w:rPr>
          <w:rFonts w:ascii="Arial" w:cs="Arial" w:eastAsia="Arial" w:hAnsi="Arial"/>
          <w:sz w:val="16"/>
          <w:szCs w:val="16"/>
          <w:color w:val="auto"/>
        </w:rPr>
      </w:pPr>
    </w:p>
    <w:p>
      <w:pPr>
        <w:ind w:left="1080" w:right="20" w:hanging="538"/>
        <w:spacing w:after="0" w:line="289"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French Phase 1b/2 MDS/AML Trial- </w:t>
      </w:r>
      <w:r>
        <w:rPr>
          <w:rFonts w:ascii="Arial" w:cs="Arial" w:eastAsia="Arial" w:hAnsi="Arial"/>
          <w:sz w:val="16"/>
          <w:szCs w:val="16"/>
          <w:color w:val="auto"/>
        </w:rPr>
        <w:t>We are supporting a parallel investigator-initiated Phase 1b/2 single-arm, open-label trial in France,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sponsored by Groupe Francophone des Myelodysplasies, or GFM, under lead investigator Prof. Pierre Fenaux, evaluating APR-246 with azacitidine as frontline therapy in HMA-naïve patients with </w:t>
      </w:r>
      <w:r>
        <w:rPr>
          <w:rFonts w:ascii="Arial" w:cs="Arial" w:eastAsia="Arial" w:hAnsi="Arial"/>
          <w:sz w:val="16"/>
          <w:szCs w:val="16"/>
          <w:i w:val="1"/>
          <w:iCs w:val="1"/>
          <w:color w:val="auto"/>
        </w:rPr>
        <w:t>TP53</w:t>
      </w:r>
      <w:r>
        <w:rPr>
          <w:rFonts w:ascii="Arial" w:cs="Arial" w:eastAsia="Arial" w:hAnsi="Arial"/>
          <w:sz w:val="16"/>
          <w:szCs w:val="16"/>
          <w:color w:val="auto"/>
        </w:rPr>
        <w:t xml:space="preserve"> mutant MDS or AML. We are collaborating with GFM on this trial by supplying APR-246, in addition to providing financial support. The primary endpoint of the trial is CR rate and enrollment has completed with 53 patients. Top-line results on the CR rate primary endpoint are expected in the first half of 2020. All patients are to receive the recommended Phase 2 dose from the U.S. Phase 1b/2 MDS/AML Trial. As of July 2019, the regimen has achieved an ORR of 75% and CR rate of 56% in 16 response-evaluable patients. In MDS patients, the CR rate was 55%, with an additional 18% achieving non-CR responses. In AML patients, the CR rate was 60%, with an additional 20% achieving non-CR responses. Responding patients who proceed to allo-HCT are eligible to continue receiving APR-246 with azacitidine as post-transplant maintenance therapy.</w:t>
      </w:r>
    </w:p>
    <w:p>
      <w:pPr>
        <w:spacing w:after="0" w:line="193" w:lineRule="exact"/>
        <w:rPr>
          <w:rFonts w:ascii="Arial" w:cs="Arial" w:eastAsia="Arial" w:hAnsi="Arial"/>
          <w:sz w:val="16"/>
          <w:szCs w:val="16"/>
          <w:color w:val="auto"/>
        </w:rPr>
      </w:pPr>
    </w:p>
    <w:p>
      <w:pPr>
        <w:ind w:left="1080" w:right="140" w:hanging="538"/>
        <w:spacing w:after="0" w:line="310"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Phase 2 MDS/AML Post-Transplant Trial- </w:t>
      </w:r>
      <w:r>
        <w:rPr>
          <w:rFonts w:ascii="Arial" w:cs="Arial" w:eastAsia="Arial" w:hAnsi="Arial"/>
          <w:sz w:val="16"/>
          <w:szCs w:val="16"/>
          <w:color w:val="auto"/>
        </w:rPr>
        <w:t>We are currently enrolling our single-arm, open-label Phase 2 trial evaluating APR-246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azacitidine as post-transplant maintenance therapy in </w:t>
      </w:r>
      <w:r>
        <w:rPr>
          <w:rFonts w:ascii="Arial" w:cs="Arial" w:eastAsia="Arial" w:hAnsi="Arial"/>
          <w:sz w:val="16"/>
          <w:szCs w:val="16"/>
          <w:i w:val="1"/>
          <w:iCs w:val="1"/>
          <w:color w:val="auto"/>
        </w:rPr>
        <w:t>TP53</w:t>
      </w:r>
      <w:r>
        <w:rPr>
          <w:rFonts w:ascii="Arial" w:cs="Arial" w:eastAsia="Arial" w:hAnsi="Arial"/>
          <w:sz w:val="16"/>
          <w:szCs w:val="16"/>
          <w:color w:val="auto"/>
        </w:rPr>
        <w:t xml:space="preserve"> mutant MDS and AML patients who have received allo-HCT. The primary endpoint is relapse-free survival at 12 months. We anticipate full enrollment in the first half of 2020.</w:t>
      </w:r>
    </w:p>
    <w:p>
      <w:pPr>
        <w:spacing w:after="0" w:line="164" w:lineRule="exact"/>
        <w:rPr>
          <w:rFonts w:ascii="Arial" w:cs="Arial" w:eastAsia="Arial" w:hAnsi="Arial"/>
          <w:sz w:val="16"/>
          <w:szCs w:val="16"/>
          <w:color w:val="auto"/>
        </w:rPr>
      </w:pPr>
    </w:p>
    <w:p>
      <w:pPr>
        <w:ind w:left="1080" w:right="220" w:hanging="538"/>
        <w:spacing w:after="0" w:line="262"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Phase 1/2 AML Trials- </w:t>
      </w:r>
      <w:r>
        <w:rPr>
          <w:rFonts w:ascii="Arial" w:cs="Arial" w:eastAsia="Arial" w:hAnsi="Arial"/>
          <w:sz w:val="18"/>
          <w:szCs w:val="18"/>
          <w:color w:val="auto"/>
        </w:rPr>
        <w:t>Based 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vitro</w:t>
      </w:r>
      <w:r>
        <w:rPr>
          <w:rFonts w:ascii="Arial" w:cs="Arial" w:eastAsia="Arial" w:hAnsi="Arial"/>
          <w:sz w:val="18"/>
          <w:szCs w:val="18"/>
          <w:b w:val="1"/>
          <w:bCs w:val="1"/>
          <w:color w:val="auto"/>
        </w:rPr>
        <w:t xml:space="preserve"> </w:t>
      </w:r>
      <w:r>
        <w:rPr>
          <w:rFonts w:ascii="Arial" w:cs="Arial" w:eastAsia="Arial" w:hAnsi="Arial"/>
          <w:sz w:val="18"/>
          <w:szCs w:val="18"/>
          <w:color w:val="auto"/>
        </w:rPr>
        <w:t>data evidencing synergistic activity between APR-246 and a Bcl-2 inhibitor, we have designed</w:t>
      </w:r>
      <w:r>
        <w:rPr>
          <w:rFonts w:ascii="Arial" w:cs="Arial" w:eastAsia="Arial" w:hAnsi="Arial"/>
          <w:sz w:val="18"/>
          <w:szCs w:val="18"/>
          <w:b w:val="1"/>
          <w:bCs w:val="1"/>
          <w:color w:val="auto"/>
        </w:rPr>
        <w:t xml:space="preserve"> </w:t>
      </w:r>
      <w:r>
        <w:rPr>
          <w:rFonts w:ascii="Arial" w:cs="Arial" w:eastAsia="Arial" w:hAnsi="Arial"/>
          <w:sz w:val="18"/>
          <w:szCs w:val="18"/>
          <w:color w:val="auto"/>
        </w:rPr>
        <w:t>and plan to conduct Phase 1/2 clinical trials in frontline and relapsed/refractory AML assessing APR-246 with a Bcl-2 inhibitor with or without azacitidine. We anticipate the first patient to be enrolled in the fourth quarter of 2019.</w:t>
      </w:r>
    </w:p>
    <w:p>
      <w:pPr>
        <w:spacing w:after="0" w:line="19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second product candidate, APR-548, is a next-generation p53 reactivator with the potential for oral administration. APR-548 is a unique analog of APR-246 and therefore a pro-drug of MQ. We have filed a patent application in support of composition of matter and methods of use intellectual property protection for APR-548. APR-548 exhibits high oral bioavailability in preclinical testing and is being developed in an oral dosage form. We are currently conducting Investigational New Drug, or IND, enabling preclinical trials of APR-548 and anticipate submitting an IND in the first half of 2020.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480" w:top="941" w:right="4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318135</wp:posOffset>
            </wp:positionV>
            <wp:extent cx="7250430" cy="74396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7439660"/>
                    </a:xfrm>
                    <a:prstGeom prst="rect">
                      <a:avLst/>
                    </a:prstGeom>
                    <a:noFill/>
                  </pic:spPr>
                </pic:pic>
              </a:graphicData>
            </a:graphic>
          </wp:anchor>
        </w:drawing>
        <w:t>Our strategy</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Our mission is to be the leading player in the development and commercialization of p53-targeted cancer therapies. The key elements of our strategy are to:</w:t>
      </w:r>
    </w:p>
    <w:p>
      <w:pPr>
        <w:spacing w:after="0" w:line="213" w:lineRule="exact"/>
        <w:rPr>
          <w:sz w:val="20"/>
          <w:szCs w:val="20"/>
          <w:color w:val="auto"/>
        </w:rPr>
      </w:pPr>
    </w:p>
    <w:p>
      <w:pPr>
        <w:ind w:left="1080" w:hanging="538"/>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Rapidly develop and commercialize our lead mutant p53 reactivator product candidate, APR-246, in frontline combination therapy for </w:t>
      </w:r>
      <w:r>
        <w:rPr>
          <w:rFonts w:ascii="Arial" w:cs="Arial" w:eastAsia="Arial" w:hAnsi="Arial"/>
          <w:sz w:val="18"/>
          <w:szCs w:val="18"/>
          <w:i w:val="1"/>
          <w:iCs w:val="1"/>
          <w:color w:val="auto"/>
        </w:rPr>
        <w:t>TP53</w:t>
      </w:r>
      <w:r>
        <w:rPr>
          <w:rFonts w:ascii="Arial" w:cs="Arial" w:eastAsia="Arial" w:hAnsi="Arial"/>
          <w:sz w:val="18"/>
          <w:szCs w:val="18"/>
          <w:color w:val="auto"/>
        </w:rPr>
        <w:t xml:space="preserve"> mutant MDS</w:t>
      </w:r>
    </w:p>
    <w:p>
      <w:pPr>
        <w:spacing w:after="0" w:line="199" w:lineRule="exact"/>
        <w:rPr>
          <w:rFonts w:ascii="Arial" w:cs="Arial" w:eastAsia="Arial" w:hAnsi="Arial"/>
          <w:sz w:val="18"/>
          <w:szCs w:val="18"/>
          <w:color w:val="auto"/>
        </w:rPr>
      </w:pPr>
    </w:p>
    <w:p>
      <w:pPr>
        <w:ind w:left="1080" w:right="300" w:hanging="538"/>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Expand the clinical opportunity for APR-246 by pursuing development of combination therapy for post-transplant maintenance in </w:t>
      </w:r>
      <w:r>
        <w:rPr>
          <w:rFonts w:ascii="Arial" w:cs="Arial" w:eastAsia="Arial" w:hAnsi="Arial"/>
          <w:sz w:val="18"/>
          <w:szCs w:val="18"/>
          <w:i w:val="1"/>
          <w:iCs w:val="1"/>
          <w:color w:val="auto"/>
        </w:rPr>
        <w:t>TP53</w:t>
      </w:r>
      <w:r>
        <w:rPr>
          <w:rFonts w:ascii="Arial" w:cs="Arial" w:eastAsia="Arial" w:hAnsi="Arial"/>
          <w:sz w:val="18"/>
          <w:szCs w:val="18"/>
          <w:color w:val="auto"/>
        </w:rPr>
        <w:t xml:space="preserve"> mutant MDS and AML</w:t>
      </w:r>
    </w:p>
    <w:p>
      <w:pPr>
        <w:spacing w:after="0" w:line="199" w:lineRule="exact"/>
        <w:rPr>
          <w:rFonts w:ascii="Arial" w:cs="Arial" w:eastAsia="Arial" w:hAnsi="Arial"/>
          <w:sz w:val="18"/>
          <w:szCs w:val="18"/>
          <w:color w:val="auto"/>
        </w:rPr>
      </w:pPr>
    </w:p>
    <w:p>
      <w:pPr>
        <w:ind w:left="1080" w:hanging="538"/>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Rapidly develop APR-246 for frontline and relapsed/refractory </w:t>
      </w:r>
      <w:r>
        <w:rPr>
          <w:rFonts w:ascii="Arial" w:cs="Arial" w:eastAsia="Arial" w:hAnsi="Arial"/>
          <w:sz w:val="18"/>
          <w:szCs w:val="18"/>
          <w:i w:val="1"/>
          <w:iCs w:val="1"/>
          <w:color w:val="auto"/>
        </w:rPr>
        <w:t>TP53</w:t>
      </w:r>
      <w:r>
        <w:rPr>
          <w:rFonts w:ascii="Arial" w:cs="Arial" w:eastAsia="Arial" w:hAnsi="Arial"/>
          <w:sz w:val="18"/>
          <w:szCs w:val="18"/>
          <w:color w:val="auto"/>
        </w:rPr>
        <w:t xml:space="preserve"> mutant AML</w:t>
      </w:r>
    </w:p>
    <w:p>
      <w:pPr>
        <w:spacing w:after="0" w:line="252" w:lineRule="exact"/>
        <w:rPr>
          <w:rFonts w:ascii="Arial" w:cs="Arial" w:eastAsia="Arial" w:hAnsi="Arial"/>
          <w:sz w:val="18"/>
          <w:szCs w:val="18"/>
          <w:color w:val="auto"/>
        </w:rPr>
      </w:pPr>
    </w:p>
    <w:p>
      <w:pPr>
        <w:ind w:left="1080" w:hanging="538"/>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Advance our next-generation p53 reactivator, APR-548</w:t>
      </w:r>
    </w:p>
    <w:p>
      <w:pPr>
        <w:spacing w:after="0" w:line="238" w:lineRule="exact"/>
        <w:rPr>
          <w:rFonts w:ascii="Arial" w:cs="Arial" w:eastAsia="Arial" w:hAnsi="Arial"/>
          <w:sz w:val="18"/>
          <w:szCs w:val="18"/>
          <w:color w:val="auto"/>
        </w:rPr>
      </w:pPr>
    </w:p>
    <w:p>
      <w:pPr>
        <w:ind w:left="1080" w:hanging="538"/>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Explore additional oncology indications for APR-246 and APR-548</w:t>
      </w:r>
    </w:p>
    <w:p>
      <w:pPr>
        <w:spacing w:after="0" w:line="238" w:lineRule="exact"/>
        <w:rPr>
          <w:rFonts w:ascii="Arial" w:cs="Arial" w:eastAsia="Arial" w:hAnsi="Arial"/>
          <w:sz w:val="18"/>
          <w:szCs w:val="18"/>
          <w:color w:val="auto"/>
        </w:rPr>
      </w:pPr>
    </w:p>
    <w:p>
      <w:pPr>
        <w:ind w:left="1080" w:hanging="538"/>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Maximize the commercial opportunity of our product candidates across global markets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Our ability to execute on our business strategy is subject to a number of risks, which are discussed more fully in the section of this prospectus entitled "Risk Factors." You should carefully consider these risks before making an investment in our common stock. These risks include, among others, the following:</w:t>
      </w:r>
    </w:p>
    <w:p>
      <w:pPr>
        <w:spacing w:after="0" w:line="221" w:lineRule="exact"/>
        <w:rPr>
          <w:sz w:val="20"/>
          <w:szCs w:val="20"/>
          <w:color w:val="auto"/>
        </w:rPr>
      </w:pPr>
    </w:p>
    <w:p>
      <w:pPr>
        <w:ind w:left="1080" w:right="80" w:hanging="538"/>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incurred significant losses since inception. We expect to incur losses for the foreseeable future and may never achieve or maintain profitability. As of June 30, 2019, we had an accumulated deficit of $71.2 million.</w:t>
      </w:r>
    </w:p>
    <w:p>
      <w:pPr>
        <w:spacing w:after="0" w:line="199" w:lineRule="exact"/>
        <w:rPr>
          <w:rFonts w:ascii="Arial" w:cs="Arial" w:eastAsia="Arial" w:hAnsi="Arial"/>
          <w:sz w:val="18"/>
          <w:szCs w:val="18"/>
          <w:color w:val="auto"/>
        </w:rPr>
      </w:pPr>
    </w:p>
    <w:p>
      <w:pPr>
        <w:ind w:left="1080" w:right="20" w:hanging="538"/>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limited operating history may make it difficult for you to evaluate the success of our business to date and to assess our future viability. We have never generated revenues and may never be profitable. Our lead product candidate, APR-246, is currently in multiple clinical trials and all of our other product candidates are in preclinical research.</w:t>
      </w:r>
    </w:p>
    <w:p>
      <w:pPr>
        <w:spacing w:after="0" w:line="207" w:lineRule="exact"/>
        <w:rPr>
          <w:rFonts w:ascii="Arial" w:cs="Arial" w:eastAsia="Arial" w:hAnsi="Arial"/>
          <w:sz w:val="18"/>
          <w:szCs w:val="18"/>
          <w:color w:val="auto"/>
        </w:rPr>
      </w:pPr>
    </w:p>
    <w:p>
      <w:pPr>
        <w:ind w:left="1080" w:right="40" w:hanging="538"/>
        <w:spacing w:after="0" w:line="289"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believe that the net proceeds from this offering, together with our existing cash and cash equivalents, will enable us to fund our operating expenses and capital expenditure requirements into 2023. We expect that the net proceeds from this offering and our existing cash and cash equivalents will be sufficient to enable us to complete each of our ongoing clinical trials. We do not expect that the net proceeds from this offering and our existing cash and cash equivalents will be sufficient, however, to enable us to conduct through completion any additional clinical trials of APR-246 or to otherwise complete the development of APR-246. Accordingly, we will need substantial additional funding, which may not be available to us on acceptable terms or at all, to complete development of APR-246 and to fund development of our next-generation p53 reactivator, APR-548. If we are unable to raise capital when needed, we may be forced to delay, reduce and/or eliminate our research and drug development programs or commercialization efforts.</w:t>
      </w:r>
    </w:p>
    <w:p>
      <w:pPr>
        <w:spacing w:after="0" w:line="199" w:lineRule="exact"/>
        <w:rPr>
          <w:rFonts w:ascii="Arial" w:cs="Arial" w:eastAsia="Arial" w:hAnsi="Arial"/>
          <w:sz w:val="16"/>
          <w:szCs w:val="16"/>
          <w:color w:val="auto"/>
        </w:rPr>
      </w:pPr>
    </w:p>
    <w:p>
      <w:pPr>
        <w:ind w:left="1080" w:right="200" w:hanging="538"/>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substantially dependent on the success of APR-246 and cannot be certain that we will receive marketing approval for APR-246 or will successfully commercialize APR-246 even if we receive such marketing approval.</w:t>
      </w:r>
    </w:p>
    <w:p>
      <w:pPr>
        <w:spacing w:after="0" w:line="199" w:lineRule="exact"/>
        <w:rPr>
          <w:rFonts w:ascii="Arial" w:cs="Arial" w:eastAsia="Arial" w:hAnsi="Arial"/>
          <w:sz w:val="18"/>
          <w:szCs w:val="18"/>
          <w:color w:val="auto"/>
        </w:rPr>
      </w:pPr>
    </w:p>
    <w:p>
      <w:pPr>
        <w:ind w:left="1080" w:right="40" w:hanging="538"/>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of patients in clinical trials, we may not be able to initiate or complete clinical trials for our product candidates on a timely basis.</w:t>
      </w:r>
    </w:p>
    <w:p>
      <w:pPr>
        <w:spacing w:after="0" w:line="199" w:lineRule="exact"/>
        <w:rPr>
          <w:rFonts w:ascii="Arial" w:cs="Arial" w:eastAsia="Arial" w:hAnsi="Arial"/>
          <w:sz w:val="18"/>
          <w:szCs w:val="18"/>
          <w:color w:val="auto"/>
        </w:rPr>
      </w:pPr>
    </w:p>
    <w:p>
      <w:pPr>
        <w:ind w:left="1080" w:hanging="538"/>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outcome of preclinical testing and early clinical trials may not be predictive of the success of later clinical trials, and interim results of a clinical trial do not necessarily predict final results.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480" w:top="935" w:right="479" w:bottom="1440" w:gutter="0" w:footer="0" w:header="0"/>
        </w:sectPr>
      </w:pPr>
    </w:p>
    <w:bookmarkStart w:id="9" w:name="page10"/>
    <w:bookmarkEnd w:id="9"/>
    <w:p>
      <w:pPr>
        <w:ind w:left="1080" w:right="40" w:hanging="538"/>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318135</wp:posOffset>
            </wp:positionV>
            <wp:extent cx="7250430" cy="638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6384290"/>
                    </a:xfrm>
                    <a:prstGeom prst="rect">
                      <a:avLst/>
                    </a:prstGeom>
                    <a:noFill/>
                  </pic:spPr>
                </pic:pic>
              </a:graphicData>
            </a:graphic>
          </wp:anchor>
        </w:drawing>
        <w:t>If clinical trials of our product candidates fail to demonstrate safety and efficacy to the satisfaction of regulatory authorities or do not otherwise produce positive results, we may incur additional costs, experience delays in completing, or ultimately be unable to complete, the development of our product candidates or be unable to obtain marketing approval.</w:t>
      </w:r>
    </w:p>
    <w:p>
      <w:pPr>
        <w:spacing w:after="0" w:line="207" w:lineRule="exact"/>
        <w:rPr>
          <w:rFonts w:ascii="Arial" w:cs="Arial" w:eastAsia="Arial" w:hAnsi="Arial"/>
          <w:sz w:val="18"/>
          <w:szCs w:val="18"/>
          <w:color w:val="auto"/>
        </w:rPr>
      </w:pPr>
    </w:p>
    <w:p>
      <w:pPr>
        <w:ind w:left="1080" w:right="140" w:hanging="538"/>
        <w:spacing w:after="0" w:line="256"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on third parties to conduct our clinical trials, some aspects of our research and preclinical studies and the manufacturing of our product candidates. If these third parties do not perform satisfactorily, including by failing to meet deadlines for the completion of such trials, research and studies, we could be delayed in our clinical development activities or in our efforts to obtain marketing approval of our product candidates.</w:t>
      </w:r>
    </w:p>
    <w:p>
      <w:pPr>
        <w:spacing w:after="0" w:line="210" w:lineRule="exact"/>
        <w:rPr>
          <w:rFonts w:ascii="Arial" w:cs="Arial" w:eastAsia="Arial" w:hAnsi="Arial"/>
          <w:sz w:val="18"/>
          <w:szCs w:val="18"/>
          <w:color w:val="auto"/>
        </w:rPr>
      </w:pPr>
    </w:p>
    <w:p>
      <w:pPr>
        <w:ind w:left="1080" w:hanging="538"/>
        <w:spacing w:after="0" w:line="287"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chemical structure of APR-246 is in the public domain. Accordingly, we do not own or license any composition of matter patents claiming the compound of APR-246 and will not in the future own or license any composition of matter patents claiming the chemical structure of APR-246 as described in the public domain. Our patent portfolio for APR-246 currently consists of method-of-use and formulation patent claims, and dosing, manufacturing processes, and crystalline solid form provisional patent application claims. If we are unable to obtain or maintain patent and other intellectual property-related protection of our proprietary technologies and our product candidates, including APR-246, their respective components, formulations, methods used to manufacture them and methods of treatment, if the scope of the patent protection obtained is not sufficiently broad, or if we are unable to successfully defend our patents against third-party challenges or enforce our patents against third-parties, our competitors and other third parties could develop and commercialize products and technology similar or identical to ours, and our ability to successfully commercialize any product candidate we may develop and our technology may be adversely affected.</w:t>
      </w:r>
    </w:p>
    <w:p>
      <w:pPr>
        <w:spacing w:after="0" w:line="203" w:lineRule="exact"/>
        <w:rPr>
          <w:rFonts w:ascii="Arial" w:cs="Arial" w:eastAsia="Arial" w:hAnsi="Arial"/>
          <w:sz w:val="16"/>
          <w:szCs w:val="16"/>
          <w:color w:val="auto"/>
        </w:rPr>
      </w:pPr>
    </w:p>
    <w:p>
      <w:pPr>
        <w:ind w:left="1080" w:right="180" w:hanging="538"/>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commercial success depends in part on the ability to avoid and successfully defend claims that we have infringed, misappropriated or otherwise violated the intellectual property of a third party.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We were incorporated under the laws of the State of Delaware in May 2019 under the name Aprea Therapeutics, Inc. On September 20, 2019, we consummated the Holdco Reorganization, pursuant to which all of the issued and outstanding stock and options of Aprea Therapeutics AB, or Aprea AB, were exchanged for common stock, preferred stock or options, as applicable, of Aprea Therapeutics, Inc. As a result of the HoldCo Reorganization, Aprea AB, became a wholly-owned subsidiary of Aprea Therapeutics, Inc. See "Corporate Reorganization" for additional information.</w:t>
      </w:r>
    </w:p>
    <w:p>
      <w:pPr>
        <w:spacing w:after="0" w:line="16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are a holding company. We conduct substantially all of our operations through our subsidiaries. Our subsidiary, Aprea AB, a corporation domiciled in Sweden, was originally incorporated in 2002 and commenced principal operations in 2006, and holds substantially all of our intellectual property assets. Our executive offices are located at 535 Boylston Street, Boston, MA 02116, and our telephone number is 617-463-9385. Our website address is www.aprea.com. The information contained on, or that can be accessed through, our website is not a part of this prospectus. We have included our website address in this prospectus solely as an inactive textual reference.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231" w:lineRule="exact"/>
        <w:rPr>
          <w:sz w:val="20"/>
          <w:szCs w:val="20"/>
          <w:color w:val="auto"/>
        </w:rPr>
      </w:pPr>
    </w:p>
    <w:p>
      <w:pPr>
        <w:ind w:firstLine="342"/>
        <w:spacing w:after="0" w:line="256" w:lineRule="auto"/>
        <w:rPr>
          <w:sz w:val="20"/>
          <w:szCs w:val="20"/>
          <w:color w:val="auto"/>
        </w:rPr>
      </w:pPr>
      <w:r>
        <w:rPr>
          <w:rFonts w:ascii="Arial" w:cs="Arial" w:eastAsia="Arial" w:hAnsi="Arial"/>
          <w:sz w:val="18"/>
          <w:szCs w:val="18"/>
          <w:color w:val="auto"/>
        </w:rPr>
        <w:t>As a company with less than $1.07 billion of revenue during our last fiscal year, we qualify as an "emerging growth company" as defined in the Jumpstart Our Business Startups Act of 2012, or the JOBS Act. We may remain an emerging growth company for up to five years, or until such earlier time as we have more than $1.07 billion in annual revenue, the market value of our stock held by non-affiliates is more than $700 million (and we have been a public company for at least 12 months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480" w:top="968" w:right="479" w:bottom="1440" w:gutter="0" w:footer="0" w:header="0"/>
        </w:sectPr>
      </w:pPr>
    </w:p>
    <w:bookmarkStart w:id="10" w:name="page11"/>
    <w:bookmarkEnd w:id="10"/>
    <w:p>
      <w:pPr>
        <w:ind w:right="6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318135</wp:posOffset>
            </wp:positionV>
            <wp:extent cx="7250430" cy="4737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4737735"/>
                    </a:xfrm>
                    <a:prstGeom prst="rect">
                      <a:avLst/>
                    </a:prstGeom>
                    <a:noFill/>
                  </pic:spPr>
                </pic:pic>
              </a:graphicData>
            </a:graphic>
          </wp:anchor>
        </w:drawing>
        <w:t>and have filed one annual report on Form 10-K with the Securities and Exchange Commission, or the SEC) or we issue more than $1 billion of non-convertible debt over a three-year period. For so long as we remain an emerging growth company, we are permitted and intend to rely on exemptions from certain disclosure and other requirements that are applicable to other public companies that are not emerging growth companies. These provisions include:</w:t>
      </w:r>
    </w:p>
    <w:p>
      <w:pPr>
        <w:spacing w:after="0" w:line="169" w:lineRule="exact"/>
        <w:rPr>
          <w:sz w:val="20"/>
          <w:szCs w:val="20"/>
          <w:color w:val="auto"/>
        </w:rPr>
      </w:pPr>
    </w:p>
    <w:p>
      <w:pPr>
        <w:ind w:left="1080" w:hanging="538"/>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238" w:lineRule="exact"/>
        <w:rPr>
          <w:rFonts w:ascii="Arial" w:cs="Arial" w:eastAsia="Arial" w:hAnsi="Arial"/>
          <w:sz w:val="18"/>
          <w:szCs w:val="18"/>
          <w:color w:val="auto"/>
        </w:rPr>
      </w:pPr>
    </w:p>
    <w:p>
      <w:pPr>
        <w:ind w:left="1080" w:hanging="538"/>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exemption from the non-binding stockholder advisory votes on executive compensation or golden parachute arrangements;</w:t>
      </w:r>
    </w:p>
    <w:p>
      <w:pPr>
        <w:spacing w:after="0" w:line="238" w:lineRule="exact"/>
        <w:rPr>
          <w:rFonts w:ascii="Arial" w:cs="Arial" w:eastAsia="Arial" w:hAnsi="Arial"/>
          <w:sz w:val="18"/>
          <w:szCs w:val="18"/>
          <w:color w:val="auto"/>
        </w:rPr>
      </w:pPr>
    </w:p>
    <w:p>
      <w:pPr>
        <w:ind w:left="1080" w:hanging="538"/>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 over financial reporting; and</w:t>
      </w:r>
    </w:p>
    <w:p>
      <w:pPr>
        <w:spacing w:after="0" w:line="252" w:lineRule="exact"/>
        <w:rPr>
          <w:rFonts w:ascii="Arial" w:cs="Arial" w:eastAsia="Arial" w:hAnsi="Arial"/>
          <w:sz w:val="18"/>
          <w:szCs w:val="18"/>
          <w:color w:val="auto"/>
        </w:rPr>
      </w:pPr>
    </w:p>
    <w:p>
      <w:pPr>
        <w:ind w:left="1080" w:right="560" w:hanging="538"/>
        <w:spacing w:after="0" w:line="306"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reduced disclosure of financial information in this prospectus, such as being permitted to include only two years of audited financial information and two years of selected financial information in addition to any required unaudited interim financial statements, with correspondingly reduced "Management's Discussion and Analysis of Financial Condition and Results of Operations" disclosure.</w:t>
      </w:r>
    </w:p>
    <w:p>
      <w:pPr>
        <w:spacing w:after="0" w:line="16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have taken advantage of some reduced reporting burdens in this prospectus. Accordingly, the information contained herein may be different than the information you receive from other public companies in which you hold stock. In addition, the JOBS Act permits an emerging growth company to take advantage of an extended transition period to comply with new or revised accounting standards applicable to public companies until those standards would otherwise apply to private companies. We have irrevocably elected not to avail ourselves of this exemption and, as a result, upon completion of this offering we will adopt new or revised accounting standards on the relevant dates on which adoption of such standards is required for other public companies that are not emerging growth companies.</w:t>
      </w:r>
    </w:p>
    <w:p>
      <w:pPr>
        <w:spacing w:after="0" w:line="198"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are also a "smaller reporting company," as such term is defined in Rule 12b-2 under the Securities Exchange Act of 1934, or the Exchange Act, meaning that the market value of our common stock held by non-affiliates plus the proposed aggregate amount of gross proceeds to us as a result of this offering is less than $700 million and our annual revenue is less than $100 million during the most recently completed fiscal year. We may continue to be a smaller reporting company after this offering if either (i) the market value of our common stock held by non-affiliates is less than $250 million or (ii) our annual revenue is less than $100 million during the most recently completed fiscal year and the market value of our common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480" w:top="941" w:right="49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879"/>
        </w:trPr>
        <w:tc>
          <w:tcPr>
            <w:tcW w:w="4640" w:type="dxa"/>
            <w:vAlign w:val="bottom"/>
            <w:tcBorders>
              <w:top w:val="single" w:sz="8" w:color="auto"/>
              <w:left w:val="single" w:sz="8" w:color="auto"/>
            </w:tcBorders>
          </w:tcPr>
          <w:p>
            <w:pPr>
              <w:spacing w:after="0"/>
              <w:rPr>
                <w:sz w:val="24"/>
                <w:szCs w:val="24"/>
                <w:color w:val="auto"/>
              </w:rPr>
            </w:pPr>
          </w:p>
        </w:tc>
        <w:tc>
          <w:tcPr>
            <w:tcW w:w="678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18"/>
                <w:szCs w:val="18"/>
                <w:b w:val="1"/>
                <w:bCs w:val="1"/>
                <w:color w:val="auto"/>
              </w:rPr>
              <w:t>The Offering</w:t>
            </w:r>
          </w:p>
        </w:tc>
      </w:tr>
      <w:tr>
        <w:trPr>
          <w:trHeight w:val="432"/>
        </w:trPr>
        <w:tc>
          <w:tcPr>
            <w:tcW w:w="464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Common stock offered by us</w:t>
            </w:r>
          </w:p>
        </w:tc>
        <w:tc>
          <w:tcPr>
            <w:tcW w:w="6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5,666,667 shares</w:t>
            </w:r>
          </w:p>
        </w:tc>
      </w:tr>
      <w:tr>
        <w:trPr>
          <w:trHeight w:val="426"/>
        </w:trPr>
        <w:tc>
          <w:tcPr>
            <w:tcW w:w="464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Underwriters' option to purchase additional shares</w:t>
            </w:r>
          </w:p>
        </w:tc>
        <w:tc>
          <w:tcPr>
            <w:tcW w:w="6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9"/>
              </w:rPr>
              <w:t>We have granted the underwriters a 30-day option to purchase up to</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6"/>
              </w:rPr>
              <w:t>850,000 additional shares at the public offering price, less underwriting</w:t>
            </w:r>
          </w:p>
        </w:tc>
      </w:tr>
      <w:tr>
        <w:trPr>
          <w:trHeight w:val="222"/>
        </w:trPr>
        <w:tc>
          <w:tcPr>
            <w:tcW w:w="4640" w:type="dxa"/>
            <w:vAlign w:val="bottom"/>
            <w:tcBorders>
              <w:left w:val="single" w:sz="8" w:color="auto"/>
            </w:tcBorders>
          </w:tcPr>
          <w:p>
            <w:pPr>
              <w:spacing w:after="0"/>
              <w:rPr>
                <w:sz w:val="19"/>
                <w:szCs w:val="19"/>
                <w:color w:val="auto"/>
              </w:rPr>
            </w:pPr>
          </w:p>
        </w:tc>
        <w:tc>
          <w:tcPr>
            <w:tcW w:w="6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discounts and commissions.</w:t>
            </w:r>
          </w:p>
        </w:tc>
      </w:tr>
      <w:tr>
        <w:trPr>
          <w:trHeight w:val="426"/>
        </w:trPr>
        <w:tc>
          <w:tcPr>
            <w:tcW w:w="464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Common stock to be outstanding after the offering</w:t>
            </w:r>
          </w:p>
        </w:tc>
        <w:tc>
          <w:tcPr>
            <w:tcW w:w="6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5"/>
              </w:rPr>
              <w:t>19,876,532 shares (or 20,726,532 shares if the underwriters exercise in</w:t>
            </w:r>
          </w:p>
        </w:tc>
      </w:tr>
      <w:tr>
        <w:trPr>
          <w:trHeight w:val="222"/>
        </w:trPr>
        <w:tc>
          <w:tcPr>
            <w:tcW w:w="4640" w:type="dxa"/>
            <w:vAlign w:val="bottom"/>
            <w:tcBorders>
              <w:left w:val="single" w:sz="8" w:color="auto"/>
            </w:tcBorders>
          </w:tcPr>
          <w:p>
            <w:pPr>
              <w:spacing w:after="0"/>
              <w:rPr>
                <w:sz w:val="19"/>
                <w:szCs w:val="19"/>
                <w:color w:val="auto"/>
              </w:rPr>
            </w:pPr>
          </w:p>
        </w:tc>
        <w:tc>
          <w:tcPr>
            <w:tcW w:w="6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full their option to purchase additional shares)</w:t>
            </w:r>
          </w:p>
        </w:tc>
      </w:tr>
      <w:tr>
        <w:trPr>
          <w:trHeight w:val="426"/>
        </w:trPr>
        <w:tc>
          <w:tcPr>
            <w:tcW w:w="464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Use of proceeds</w:t>
            </w:r>
          </w:p>
        </w:tc>
        <w:tc>
          <w:tcPr>
            <w:tcW w:w="6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We estimate that our net proceeds from this offering, after deducting</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2"/>
              </w:rPr>
              <w:t>underwriting discounts and commissions and estimated offering expenses</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5"/>
              </w:rPr>
              <w:t>payable by us, will be approximately $75.9 million, or $87.7 million if the</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2"/>
              </w:rPr>
              <w:t>underwriters exercise their option to purchase additional shares in full. We</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intend to use the net proceeds from the offering to fund: (i) future</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3"/>
              </w:rPr>
              <w:t>Phase 1b/2 clinical studies of APR-246 for solid tumor and hematological</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3"/>
              </w:rPr>
              <w:t>malignancies as well as additional future clinical studies to be determined</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9"/>
              </w:rPr>
              <w:t>if the data derived from such Phase 1b/2 clinical studies is favorable;</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3"/>
              </w:rPr>
              <w:t>(ii) continued research and development activities for APR-548, including</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7"/>
              </w:rPr>
              <w:t>ongoing IND-enabling studies and a first-in-human clinical trial; (iii) the</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ongoing preclinical and clinical development of APR-246, including</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7"/>
              </w:rPr>
              <w:t>preparation and submission of a New Drug Application (NDA) in MDS;</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3"/>
              </w:rPr>
              <w:t>and (iv) general research and development activities, working capital and</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6"/>
              </w:rPr>
              <w:t>other general corporate activities including the buildout of infrastructure</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to support the advancement of our product candidates. See "Use of</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1"/>
              </w:rPr>
              <w:t>Proceeds" on page 77 for a more complete description of the intended use</w:t>
            </w:r>
          </w:p>
        </w:tc>
      </w:tr>
      <w:tr>
        <w:trPr>
          <w:trHeight w:val="222"/>
        </w:trPr>
        <w:tc>
          <w:tcPr>
            <w:tcW w:w="4640" w:type="dxa"/>
            <w:vAlign w:val="bottom"/>
            <w:tcBorders>
              <w:left w:val="single" w:sz="8" w:color="auto"/>
            </w:tcBorders>
          </w:tcPr>
          <w:p>
            <w:pPr>
              <w:spacing w:after="0"/>
              <w:rPr>
                <w:sz w:val="19"/>
                <w:szCs w:val="19"/>
                <w:color w:val="auto"/>
              </w:rPr>
            </w:pPr>
          </w:p>
        </w:tc>
        <w:tc>
          <w:tcPr>
            <w:tcW w:w="6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of proceeds from this offering.</w:t>
            </w:r>
          </w:p>
        </w:tc>
      </w:tr>
      <w:tr>
        <w:trPr>
          <w:trHeight w:val="426"/>
        </w:trPr>
        <w:tc>
          <w:tcPr>
            <w:tcW w:w="464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Directed share program</w:t>
            </w:r>
          </w:p>
        </w:tc>
        <w:tc>
          <w:tcPr>
            <w:tcW w:w="6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3"/>
              </w:rPr>
              <w:t>The underwriters have reserved up to 3% of the shares of common stock</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5"/>
              </w:rPr>
              <w:t>being offered by this prospectus (excluding the shares of common stock</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that may be issued upon the underwriters' exercise of their option to</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9"/>
              </w:rPr>
              <w:t>purchase additional common stock) for sale to our directors, officers,</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1"/>
              </w:rPr>
              <w:t>employees, business associates and related persons of the Company. The</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2"/>
              </w:rPr>
              <w:t>number of shares of common stock available for sale to the general public</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7"/>
              </w:rPr>
              <w:t>will be reduced to the extent these individuals purchase such reserved</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4"/>
              </w:rPr>
              <w:t>shares. Any reserved shares that are not so purchased will be offered by</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9"/>
              </w:rPr>
              <w:t>the underwriters to the general public on the same basis as the other</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7"/>
              </w:rPr>
              <w:t>shares offered by this prospectus. See "Underwriting—Directed Share</w:t>
            </w:r>
          </w:p>
        </w:tc>
      </w:tr>
      <w:tr>
        <w:trPr>
          <w:trHeight w:val="222"/>
        </w:trPr>
        <w:tc>
          <w:tcPr>
            <w:tcW w:w="4640" w:type="dxa"/>
            <w:vAlign w:val="bottom"/>
            <w:tcBorders>
              <w:left w:val="single" w:sz="8" w:color="auto"/>
            </w:tcBorders>
          </w:tcPr>
          <w:p>
            <w:pPr>
              <w:spacing w:after="0"/>
              <w:rPr>
                <w:sz w:val="19"/>
                <w:szCs w:val="19"/>
                <w:color w:val="auto"/>
              </w:rPr>
            </w:pPr>
          </w:p>
        </w:tc>
        <w:tc>
          <w:tcPr>
            <w:tcW w:w="6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Program."</w:t>
            </w:r>
          </w:p>
        </w:tc>
      </w:tr>
      <w:tr>
        <w:trPr>
          <w:trHeight w:val="426"/>
        </w:trPr>
        <w:tc>
          <w:tcPr>
            <w:tcW w:w="464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Risk factors</w:t>
            </w:r>
          </w:p>
        </w:tc>
        <w:tc>
          <w:tcPr>
            <w:tcW w:w="6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1"/>
              </w:rPr>
              <w:t>See the "Risk Factors" section beginning on page 12 of this prospectus, as</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6"/>
              </w:rPr>
              <w:t>well as other information included in this prospectus for a discussion of</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9"/>
              </w:rPr>
              <w:t>factors to consider carefully before deciding to invest in shares of our</w:t>
            </w:r>
          </w:p>
        </w:tc>
      </w:tr>
      <w:tr>
        <w:trPr>
          <w:trHeight w:val="222"/>
        </w:trPr>
        <w:tc>
          <w:tcPr>
            <w:tcW w:w="4640" w:type="dxa"/>
            <w:vAlign w:val="bottom"/>
            <w:tcBorders>
              <w:left w:val="single" w:sz="8" w:color="auto"/>
            </w:tcBorders>
          </w:tcPr>
          <w:p>
            <w:pPr>
              <w:spacing w:after="0"/>
              <w:rPr>
                <w:sz w:val="19"/>
                <w:szCs w:val="19"/>
                <w:color w:val="auto"/>
              </w:rPr>
            </w:pPr>
          </w:p>
        </w:tc>
        <w:tc>
          <w:tcPr>
            <w:tcW w:w="6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common stock.</w:t>
            </w:r>
          </w:p>
        </w:tc>
      </w:tr>
      <w:tr>
        <w:trPr>
          <w:trHeight w:val="432"/>
        </w:trPr>
        <w:tc>
          <w:tcPr>
            <w:tcW w:w="464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Nasdaq Global Select Market symbol</w:t>
            </w:r>
          </w:p>
        </w:tc>
        <w:tc>
          <w:tcPr>
            <w:tcW w:w="6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"APRE"</w:t>
            </w:r>
          </w:p>
        </w:tc>
      </w:tr>
      <w:tr>
        <w:trPr>
          <w:trHeight w:val="228"/>
        </w:trPr>
        <w:tc>
          <w:tcPr>
            <w:tcW w:w="4640" w:type="dxa"/>
            <w:vAlign w:val="bottom"/>
            <w:tcBorders>
              <w:left w:val="single" w:sz="8" w:color="auto"/>
              <w:bottom w:val="single" w:sz="8" w:color="auto"/>
            </w:tcBorders>
          </w:tcPr>
          <w:p>
            <w:pPr>
              <w:spacing w:after="0"/>
              <w:rPr>
                <w:sz w:val="19"/>
                <w:szCs w:val="19"/>
                <w:color w:val="auto"/>
              </w:rPr>
            </w:pPr>
          </w:p>
        </w:tc>
        <w:tc>
          <w:tcPr>
            <w:tcW w:w="6780" w:type="dxa"/>
            <w:vAlign w:val="bottom"/>
            <w:tcBorders>
              <w:bottom w:val="single" w:sz="8" w:color="auto"/>
              <w:right w:val="single" w:sz="8" w:color="auto"/>
            </w:tcBorders>
          </w:tcPr>
          <w:p>
            <w:pPr>
              <w:spacing w:after="0"/>
              <w:rPr>
                <w:sz w:val="19"/>
                <w:szCs w:val="19"/>
                <w:color w:val="auto"/>
              </w:rPr>
            </w:pPr>
          </w:p>
        </w:tc>
      </w:tr>
      <w:tr>
        <w:trPr>
          <w:trHeight w:val="427"/>
        </w:trPr>
        <w:tc>
          <w:tcPr>
            <w:tcW w:w="4640" w:type="dxa"/>
            <w:vAlign w:val="bottom"/>
          </w:tcPr>
          <w:p>
            <w:pPr>
              <w:spacing w:after="0"/>
              <w:rPr>
                <w:sz w:val="24"/>
                <w:szCs w:val="24"/>
                <w:color w:val="auto"/>
              </w:rPr>
            </w:pPr>
          </w:p>
        </w:tc>
        <w:tc>
          <w:tcPr>
            <w:tcW w:w="6780" w:type="dxa"/>
            <w:vAlign w:val="bottom"/>
          </w:tcPr>
          <w:p>
            <w:pPr>
              <w:ind w:left="1040"/>
              <w:spacing w:after="0"/>
              <w:rPr>
                <w:sz w:val="20"/>
                <w:szCs w:val="20"/>
                <w:color w:val="auto"/>
              </w:rPr>
            </w:pPr>
            <w:r>
              <w:rPr>
                <w:rFonts w:ascii="Arial" w:cs="Arial" w:eastAsia="Arial" w:hAnsi="Arial"/>
                <w:sz w:val="18"/>
                <w:szCs w:val="18"/>
                <w:color w:val="auto"/>
              </w:rPr>
              <w:t>8</w:t>
            </w:r>
          </w:p>
        </w:tc>
      </w:tr>
      <w:tr>
        <w:trPr>
          <w:trHeight w:val="228"/>
        </w:trPr>
        <w:tc>
          <w:tcPr>
            <w:tcW w:w="4640" w:type="dxa"/>
            <w:vAlign w:val="bottom"/>
            <w:tcBorders>
              <w:bottom w:val="single" w:sz="8" w:color="808080"/>
            </w:tcBorders>
          </w:tcPr>
          <w:p>
            <w:pPr>
              <w:spacing w:after="0"/>
              <w:rPr>
                <w:sz w:val="19"/>
                <w:szCs w:val="19"/>
                <w:color w:val="auto"/>
              </w:rPr>
            </w:pPr>
          </w:p>
        </w:tc>
        <w:tc>
          <w:tcPr>
            <w:tcW w:w="67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12" w:name="page13"/>
    <w:bookmarkEnd w:id="12"/>
    <w:p>
      <w:pPr>
        <w:ind w:right="100" w:firstLine="348"/>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318135</wp:posOffset>
            </wp:positionV>
            <wp:extent cx="7250430" cy="49352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4935220"/>
                    </a:xfrm>
                    <a:prstGeom prst="rect">
                      <a:avLst/>
                    </a:prstGeom>
                    <a:noFill/>
                  </pic:spPr>
                </pic:pic>
              </a:graphicData>
            </a:graphic>
          </wp:anchor>
        </w:drawing>
        <w:t>The number of shares of our common stock to be outstanding after the completion of this offering is based on 14,209,865 shares outstanding as of June 30, 2019, after giving effect to the Holdco Reorganization which took place on September 20, 2019 and the 1 for 1.6045 split of our common stock which took place on September 26, 2019 and assumes the conversion of our outstanding convertible preferred stock into 13,028,292 shares of common stock immediately prior to the completion of this offering, and excludes:</w:t>
      </w:r>
    </w:p>
    <w:p>
      <w:pPr>
        <w:spacing w:after="0" w:line="224" w:lineRule="exact"/>
        <w:rPr>
          <w:sz w:val="20"/>
          <w:szCs w:val="20"/>
          <w:color w:val="auto"/>
        </w:rPr>
      </w:pPr>
    </w:p>
    <w:p>
      <w:pPr>
        <w:ind w:left="1080" w:right="300" w:hanging="538"/>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2,761,794 shares of common stock, with a weighted-average exercise price of $1.66 per share, issuable upon exercise of stock options outstanding as of June 30, 2019 under our 2016 Stock Incentive Plan; and</w:t>
      </w:r>
    </w:p>
    <w:p>
      <w:pPr>
        <w:spacing w:after="0" w:line="199" w:lineRule="exact"/>
        <w:rPr>
          <w:rFonts w:ascii="Arial" w:cs="Arial" w:eastAsia="Arial" w:hAnsi="Arial"/>
          <w:sz w:val="18"/>
          <w:szCs w:val="18"/>
          <w:color w:val="auto"/>
        </w:rPr>
      </w:pPr>
    </w:p>
    <w:p>
      <w:pPr>
        <w:ind w:left="1080" w:hanging="538"/>
        <w:spacing w:after="0" w:line="256"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2,488,206 shares of common stock reserved for issuance pursuant to future awards under our 2019 Stock Incentive Plan or our Employee Stock Purchase Plan, plus any future increases in the number of shares of common stock reserved for issuance under our 2019 Stock Incentive Plan or our Employee Stock Purchase Plan pursuant to provisions thereof that automatically increase the share reserve under the plan each year.</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otherwise indicated or the context otherwise requires, information in this prospectus reflects and assumes the following:</w:t>
      </w:r>
    </w:p>
    <w:p>
      <w:pPr>
        <w:spacing w:after="0" w:line="239" w:lineRule="exact"/>
        <w:rPr>
          <w:sz w:val="20"/>
          <w:szCs w:val="20"/>
          <w:color w:val="auto"/>
        </w:rPr>
      </w:pPr>
    </w:p>
    <w:p>
      <w:pPr>
        <w:ind w:left="1080" w:hanging="538"/>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1 for 1.6045 split of our common stock which took place on September 26, 2019;</w:t>
      </w:r>
    </w:p>
    <w:p>
      <w:pPr>
        <w:spacing w:after="0" w:line="252" w:lineRule="exact"/>
        <w:rPr>
          <w:rFonts w:ascii="Arial" w:cs="Arial" w:eastAsia="Arial" w:hAnsi="Arial"/>
          <w:sz w:val="18"/>
          <w:szCs w:val="18"/>
          <w:color w:val="auto"/>
        </w:rPr>
      </w:pPr>
    </w:p>
    <w:p>
      <w:pPr>
        <w:ind w:left="1080" w:right="220" w:hanging="538"/>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issuance of 2,807 shares of common stock from the exercise of stock options on March 25, 2019, which were registered pursuant to Swedish law with the Swedish Companies Registration office on August 27, 2019;</w:t>
      </w:r>
    </w:p>
    <w:p>
      <w:pPr>
        <w:spacing w:after="0" w:line="199" w:lineRule="exact"/>
        <w:rPr>
          <w:rFonts w:ascii="Arial" w:cs="Arial" w:eastAsia="Arial" w:hAnsi="Arial"/>
          <w:sz w:val="18"/>
          <w:szCs w:val="18"/>
          <w:color w:val="auto"/>
        </w:rPr>
      </w:pPr>
    </w:p>
    <w:p>
      <w:pPr>
        <w:ind w:left="1080" w:hanging="538"/>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exercise of outstanding options or warrants;</w:t>
      </w:r>
    </w:p>
    <w:p>
      <w:pPr>
        <w:spacing w:after="0" w:line="238" w:lineRule="exact"/>
        <w:rPr>
          <w:rFonts w:ascii="Arial" w:cs="Arial" w:eastAsia="Arial" w:hAnsi="Arial"/>
          <w:sz w:val="18"/>
          <w:szCs w:val="18"/>
          <w:color w:val="auto"/>
        </w:rPr>
      </w:pPr>
    </w:p>
    <w:p>
      <w:pPr>
        <w:ind w:left="1080" w:hanging="538"/>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completion of the Holdco Reorganization;</w:t>
      </w:r>
    </w:p>
    <w:p>
      <w:pPr>
        <w:spacing w:after="0" w:line="252" w:lineRule="exact"/>
        <w:rPr>
          <w:rFonts w:ascii="Arial" w:cs="Arial" w:eastAsia="Arial" w:hAnsi="Arial"/>
          <w:sz w:val="18"/>
          <w:szCs w:val="18"/>
          <w:color w:val="auto"/>
        </w:rPr>
      </w:pPr>
    </w:p>
    <w:p>
      <w:pPr>
        <w:ind w:left="1080" w:hanging="538"/>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up to an additional 850,000 shares of our common stock;</w:t>
      </w:r>
    </w:p>
    <w:p>
      <w:pPr>
        <w:spacing w:after="0" w:line="238" w:lineRule="exact"/>
        <w:rPr>
          <w:rFonts w:ascii="Arial" w:cs="Arial" w:eastAsia="Arial" w:hAnsi="Arial"/>
          <w:sz w:val="18"/>
          <w:szCs w:val="18"/>
          <w:color w:val="auto"/>
        </w:rPr>
      </w:pPr>
    </w:p>
    <w:p>
      <w:pPr>
        <w:ind w:left="1080" w:right="320" w:hanging="538"/>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conversion of all of our outstanding shares of convertible preferred stock into an aggregate of 13,028,292 shares of common stock immediately prior to the completion of this offering; and</w:t>
      </w:r>
    </w:p>
    <w:p>
      <w:pPr>
        <w:spacing w:after="0" w:line="199" w:lineRule="exact"/>
        <w:rPr>
          <w:rFonts w:ascii="Arial" w:cs="Arial" w:eastAsia="Arial" w:hAnsi="Arial"/>
          <w:sz w:val="18"/>
          <w:szCs w:val="18"/>
          <w:color w:val="auto"/>
        </w:rPr>
      </w:pPr>
    </w:p>
    <w:p>
      <w:pPr>
        <w:ind w:left="1080" w:right="20" w:hanging="538"/>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which will occur immediately prior to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480" w:top="941" w:right="61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318135</wp:posOffset>
            </wp:positionV>
            <wp:extent cx="7250430" cy="56724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5672455"/>
                    </a:xfrm>
                    <a:prstGeom prst="rect">
                      <a:avLst/>
                    </a:prstGeom>
                    <a:noFill/>
                  </pic:spPr>
                </pic:pic>
              </a:graphicData>
            </a:graphic>
          </wp:anchor>
        </w:drawing>
        <w:t>Summary Financial Data</w:t>
      </w:r>
    </w:p>
    <w:p>
      <w:pPr>
        <w:spacing w:after="0" w:line="23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i w:val="1"/>
          <w:iCs w:val="1"/>
          <w:color w:val="auto"/>
        </w:rPr>
        <w:t>You should read the following summary financial data together with our financial statements and the related notes appearing at the end of this prospectus and the "Selected Financial Data" and "Management's Discussion and Analysis of Financial Condition and Results of Operations" sections of this prospectus. We have derived the statement of operations data for the years ended December 31, 2017 and 2018 and the balance sheet data as of December 31, 2018 from our audited financial statements appearing at the end of this prospectus. The consolidated statements of operations data for the six months ended June 30, 2018 and 2019 and the consolidated balance sheet data at June 30, 2019 are derived from our unaudited condensed consolidated financial statements included in this prospectus. The unaudited condensed consolidated financial statements include, in the opinion of management, all adjustments that management considers necessary for the fair presentation of the consolidated financial information set forth in those statements. Our historical results are not necessarily indicative of results that should be expected in any future period.</w:t>
      </w:r>
    </w:p>
    <w:p>
      <w:pPr>
        <w:spacing w:after="0" w:line="222"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6"/>
          </w:tcPr>
          <w:p>
            <w:pPr>
              <w:ind w:left="240"/>
              <w:spacing w:after="0"/>
              <w:rPr>
                <w:sz w:val="20"/>
                <w:szCs w:val="20"/>
                <w:color w:val="auto"/>
              </w:rPr>
            </w:pPr>
            <w:r>
              <w:rPr>
                <w:rFonts w:ascii="Arial" w:cs="Arial" w:eastAsia="Arial" w:hAnsi="Arial"/>
                <w:sz w:val="14"/>
                <w:szCs w:val="14"/>
                <w:b w:val="1"/>
                <w:bCs w:val="1"/>
                <w:color w:val="auto"/>
              </w:rPr>
              <w:t>Years ended December 31,</w:t>
            </w:r>
          </w:p>
        </w:tc>
        <w:tc>
          <w:tcPr>
            <w:tcW w:w="160" w:type="dxa"/>
            <w:vAlign w:val="bottom"/>
          </w:tcPr>
          <w:p>
            <w:pPr>
              <w:spacing w:after="0"/>
              <w:rPr>
                <w:sz w:val="14"/>
                <w:szCs w:val="14"/>
                <w:color w:val="auto"/>
              </w:rPr>
            </w:pPr>
          </w:p>
        </w:tc>
        <w:tc>
          <w:tcPr>
            <w:tcW w:w="2100" w:type="dxa"/>
            <w:vAlign w:val="bottom"/>
            <w:gridSpan w:val="5"/>
          </w:tcPr>
          <w:p>
            <w:pPr>
              <w:jc w:val="right"/>
              <w:ind w:right="358"/>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5"/>
          </w:tcPr>
          <w:p>
            <w:pPr>
              <w:jc w:val="right"/>
              <w:ind w:right="778"/>
              <w:spacing w:after="0" w:line="142" w:lineRule="exact"/>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w w:val="97"/>
              </w:rPr>
              <w:t>13,392,631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14,194,732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9"/>
              </w:rPr>
              <w:t>7,492,788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w w:val="99"/>
              </w:rPr>
              <w:t>7,998,270</w:t>
            </w:r>
          </w:p>
        </w:tc>
        <w:tc>
          <w:tcPr>
            <w:tcW w:w="0" w:type="dxa"/>
            <w:vAlign w:val="bottom"/>
          </w:tcPr>
          <w:p>
            <w:pPr>
              <w:spacing w:after="0"/>
              <w:rPr>
                <w:sz w:val="1"/>
                <w:szCs w:val="1"/>
                <w:color w:val="auto"/>
              </w:rPr>
            </w:pPr>
          </w:p>
        </w:tc>
      </w:tr>
      <w:tr>
        <w:trPr>
          <w:trHeight w:val="216"/>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1060" w:type="dxa"/>
            <w:vAlign w:val="bottom"/>
            <w:gridSpan w:val="2"/>
          </w:tcPr>
          <w:p>
            <w:pPr>
              <w:jc w:val="right"/>
              <w:ind w:right="78"/>
              <w:spacing w:after="0"/>
              <w:rPr>
                <w:sz w:val="20"/>
                <w:szCs w:val="20"/>
                <w:color w:val="auto"/>
              </w:rPr>
            </w:pPr>
            <w:r>
              <w:rPr>
                <w:rFonts w:ascii="Arial" w:cs="Arial" w:eastAsia="Arial" w:hAnsi="Arial"/>
                <w:sz w:val="18"/>
                <w:szCs w:val="18"/>
                <w:color w:val="auto"/>
              </w:rPr>
              <w:t>2,459,744</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2,294,671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52"/>
              <w:spacing w:after="0"/>
              <w:rPr>
                <w:sz w:val="20"/>
                <w:szCs w:val="20"/>
                <w:color w:val="auto"/>
              </w:rPr>
            </w:pPr>
            <w:r>
              <w:rPr>
                <w:rFonts w:ascii="Arial" w:cs="Arial" w:eastAsia="Arial" w:hAnsi="Arial"/>
                <w:sz w:val="18"/>
                <w:szCs w:val="18"/>
                <w:color w:val="auto"/>
                <w:w w:val="99"/>
              </w:rPr>
              <w:t>1,166,520</w:t>
            </w:r>
          </w:p>
        </w:tc>
        <w:tc>
          <w:tcPr>
            <w:tcW w:w="160" w:type="dxa"/>
            <w:vAlign w:val="bottom"/>
          </w:tcPr>
          <w:p>
            <w:pPr>
              <w:spacing w:after="0"/>
              <w:rPr>
                <w:sz w:val="18"/>
                <w:szCs w:val="18"/>
                <w:color w:val="auto"/>
              </w:rPr>
            </w:pPr>
          </w:p>
        </w:tc>
        <w:tc>
          <w:tcPr>
            <w:tcW w:w="980" w:type="dxa"/>
            <w:vAlign w:val="bottom"/>
            <w:gridSpan w:val="2"/>
          </w:tcPr>
          <w:p>
            <w:pPr>
              <w:jc w:val="right"/>
              <w:ind w:right="78"/>
              <w:spacing w:after="0"/>
              <w:rPr>
                <w:sz w:val="20"/>
                <w:szCs w:val="20"/>
                <w:color w:val="auto"/>
              </w:rPr>
            </w:pPr>
            <w:r>
              <w:rPr>
                <w:rFonts w:ascii="Arial" w:cs="Arial" w:eastAsia="Arial" w:hAnsi="Arial"/>
                <w:sz w:val="18"/>
                <w:szCs w:val="18"/>
                <w:color w:val="auto"/>
                <w:w w:val="99"/>
              </w:rPr>
              <w:t>2,347,915</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w w:val="97"/>
              </w:rPr>
              <w:t>15,852,375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16,489,403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9"/>
              </w:rPr>
              <w:t>8,659,308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w w:val="88"/>
              </w:rPr>
              <w:t>10,346,185</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(7,439)</w:t>
            </w:r>
          </w:p>
        </w:tc>
        <w:tc>
          <w:tcPr>
            <w:tcW w:w="0" w:type="dxa"/>
            <w:vAlign w:val="bottom"/>
          </w:tcPr>
          <w:p>
            <w:pPr>
              <w:spacing w:after="0"/>
              <w:rPr>
                <w:sz w:val="1"/>
                <w:szCs w:val="1"/>
                <w:color w:val="auto"/>
              </w:rPr>
            </w:pPr>
          </w:p>
        </w:tc>
      </w:tr>
      <w:tr>
        <w:trPr>
          <w:trHeight w:val="216"/>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Foreign currency gain</w:t>
            </w:r>
          </w:p>
        </w:tc>
        <w:tc>
          <w:tcPr>
            <w:tcW w:w="160" w:type="dxa"/>
            <w:vAlign w:val="bottom"/>
          </w:tcPr>
          <w:p>
            <w:pPr>
              <w:spacing w:after="0"/>
              <w:rPr>
                <w:sz w:val="18"/>
                <w:szCs w:val="18"/>
                <w:color w:val="auto"/>
              </w:rPr>
            </w:pPr>
          </w:p>
        </w:tc>
        <w:tc>
          <w:tcPr>
            <w:tcW w:w="1060" w:type="dxa"/>
            <w:vAlign w:val="bottom"/>
            <w:gridSpan w:val="2"/>
          </w:tcPr>
          <w:p>
            <w:pPr>
              <w:jc w:val="right"/>
              <w:ind w:right="78"/>
              <w:spacing w:after="0"/>
              <w:rPr>
                <w:sz w:val="20"/>
                <w:szCs w:val="20"/>
                <w:color w:val="auto"/>
              </w:rPr>
            </w:pPr>
            <w:r>
              <w:rPr>
                <w:rFonts w:ascii="Arial" w:cs="Arial" w:eastAsia="Arial" w:hAnsi="Arial"/>
                <w:sz w:val="18"/>
                <w:szCs w:val="18"/>
                <w:color w:val="auto"/>
              </w:rPr>
              <w:t>662,140</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961,316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52"/>
              <w:spacing w:after="0"/>
              <w:rPr>
                <w:sz w:val="20"/>
                <w:szCs w:val="20"/>
                <w:color w:val="auto"/>
              </w:rPr>
            </w:pPr>
            <w:r>
              <w:rPr>
                <w:rFonts w:ascii="Arial" w:cs="Arial" w:eastAsia="Arial" w:hAnsi="Arial"/>
                <w:sz w:val="18"/>
                <w:szCs w:val="18"/>
                <w:color w:val="auto"/>
              </w:rPr>
              <w:t>949,158</w:t>
            </w:r>
          </w:p>
        </w:tc>
        <w:tc>
          <w:tcPr>
            <w:tcW w:w="160" w:type="dxa"/>
            <w:vAlign w:val="bottom"/>
          </w:tcPr>
          <w:p>
            <w:pPr>
              <w:spacing w:after="0"/>
              <w:rPr>
                <w:sz w:val="18"/>
                <w:szCs w:val="18"/>
                <w:color w:val="auto"/>
              </w:rPr>
            </w:pPr>
          </w:p>
        </w:tc>
        <w:tc>
          <w:tcPr>
            <w:tcW w:w="980" w:type="dxa"/>
            <w:vAlign w:val="bottom"/>
            <w:gridSpan w:val="2"/>
          </w:tcPr>
          <w:p>
            <w:pPr>
              <w:jc w:val="right"/>
              <w:ind w:right="78"/>
              <w:spacing w:after="0"/>
              <w:rPr>
                <w:sz w:val="20"/>
                <w:szCs w:val="20"/>
                <w:color w:val="auto"/>
              </w:rPr>
            </w:pPr>
            <w:r>
              <w:rPr>
                <w:rFonts w:ascii="Arial" w:cs="Arial" w:eastAsia="Arial" w:hAnsi="Arial"/>
                <w:sz w:val="18"/>
                <w:szCs w:val="18"/>
                <w:color w:val="auto"/>
                <w:w w:val="99"/>
              </w:rPr>
              <w:t>1,615,974</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662,125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961,134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948,970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w w:val="99"/>
              </w:rPr>
              <w:t>1,608,535</w:t>
            </w:r>
          </w:p>
        </w:tc>
        <w:tc>
          <w:tcPr>
            <w:tcW w:w="0" w:type="dxa"/>
            <w:vAlign w:val="bottom"/>
          </w:tcPr>
          <w:p>
            <w:pPr>
              <w:spacing w:after="0"/>
              <w:rPr>
                <w:sz w:val="1"/>
                <w:szCs w:val="1"/>
                <w:color w:val="auto"/>
              </w:rPr>
            </w:pPr>
          </w:p>
        </w:tc>
      </w:tr>
      <w:tr>
        <w:trPr>
          <w:trHeight w:val="210"/>
        </w:trPr>
        <w:tc>
          <w:tcPr>
            <w:tcW w:w="40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(15,190,250</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(15,528,269</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(7,710,338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(8,737,650</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loss per share attributable to common</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stockholders, basic and diluted(1)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(13.17)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(13.45)</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w w:val="93"/>
              </w:rPr>
              <w:t>Weighted average common shares outstanding, basic</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and diluted(1)</w:t>
            </w:r>
          </w:p>
        </w:tc>
        <w:tc>
          <w:tcPr>
            <w:tcW w:w="160" w:type="dxa"/>
            <w:vAlign w:val="bottom"/>
          </w:tcPr>
          <w:p>
            <w:pPr>
              <w:spacing w:after="0"/>
              <w:rPr>
                <w:sz w:val="19"/>
                <w:szCs w:val="19"/>
                <w:color w:val="auto"/>
              </w:rPr>
            </w:pPr>
          </w:p>
        </w:tc>
        <w:tc>
          <w:tcPr>
            <w:tcW w:w="1060" w:type="dxa"/>
            <w:vAlign w:val="bottom"/>
            <w:gridSpan w:val="2"/>
          </w:tcPr>
          <w:p>
            <w:pPr>
              <w:jc w:val="right"/>
              <w:ind w:right="78"/>
              <w:spacing w:after="0"/>
              <w:rPr>
                <w:sz w:val="20"/>
                <w:szCs w:val="20"/>
                <w:color w:val="auto"/>
              </w:rPr>
            </w:pPr>
            <w:r>
              <w:rPr>
                <w:rFonts w:ascii="Arial" w:cs="Arial" w:eastAsia="Arial" w:hAnsi="Arial"/>
                <w:sz w:val="18"/>
                <w:szCs w:val="18"/>
                <w:color w:val="auto"/>
              </w:rPr>
              <w:t>1,153,069</w:t>
            </w: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1,154,368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52"/>
              <w:spacing w:after="0"/>
              <w:rPr>
                <w:sz w:val="20"/>
                <w:szCs w:val="20"/>
                <w:color w:val="auto"/>
              </w:rPr>
            </w:pPr>
            <w:r>
              <w:rPr>
                <w:rFonts w:ascii="Arial" w:cs="Arial" w:eastAsia="Arial" w:hAnsi="Arial"/>
                <w:sz w:val="18"/>
                <w:szCs w:val="18"/>
                <w:color w:val="auto"/>
                <w:w w:val="99"/>
              </w:rPr>
              <w:t>1,154,107</w:t>
            </w:r>
          </w:p>
        </w:tc>
        <w:tc>
          <w:tcPr>
            <w:tcW w:w="160" w:type="dxa"/>
            <w:vAlign w:val="bottom"/>
          </w:tcPr>
          <w:p>
            <w:pPr>
              <w:spacing w:after="0"/>
              <w:rPr>
                <w:sz w:val="19"/>
                <w:szCs w:val="19"/>
                <w:color w:val="auto"/>
              </w:rPr>
            </w:pPr>
          </w:p>
        </w:tc>
        <w:tc>
          <w:tcPr>
            <w:tcW w:w="980" w:type="dxa"/>
            <w:vAlign w:val="bottom"/>
            <w:gridSpan w:val="2"/>
          </w:tcPr>
          <w:p>
            <w:pPr>
              <w:jc w:val="right"/>
              <w:ind w:right="78"/>
              <w:spacing w:after="0"/>
              <w:rPr>
                <w:sz w:val="20"/>
                <w:szCs w:val="20"/>
                <w:color w:val="auto"/>
              </w:rPr>
            </w:pPr>
            <w:r>
              <w:rPr>
                <w:rFonts w:ascii="Arial" w:cs="Arial" w:eastAsia="Arial" w:hAnsi="Arial"/>
                <w:sz w:val="18"/>
                <w:szCs w:val="18"/>
                <w:color w:val="auto"/>
                <w:w w:val="99"/>
              </w:rPr>
              <w:t>1,176,417</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6"/>
              </w:rPr>
              <w:t>Pro forma net loss per share attributable to common</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stockholders, basic and diluted (unaudited)(1)</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Pro forma weighted average common shares</w:t>
            </w: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outstanding, basic and diluted (unaudited)(1)</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9,428,873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78"/>
              <w:spacing w:after="0"/>
              <w:rPr>
                <w:sz w:val="20"/>
                <w:szCs w:val="20"/>
                <w:color w:val="auto"/>
              </w:rPr>
            </w:pPr>
            <w:r>
              <w:rPr>
                <w:rFonts w:ascii="Arial" w:cs="Arial" w:eastAsia="Arial" w:hAnsi="Arial"/>
                <w:sz w:val="18"/>
                <w:szCs w:val="18"/>
                <w:color w:val="auto"/>
                <w:w w:val="88"/>
              </w:rPr>
              <w:t>14,075,669</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300" w:type="dxa"/>
            <w:vAlign w:val="bottom"/>
            <w:tcBorders>
              <w:bottom w:val="single" w:sz="8" w:color="auto"/>
            </w:tcBorders>
          </w:tcPr>
          <w:p>
            <w:pPr>
              <w:spacing w:after="0"/>
              <w:rPr>
                <w:sz w:val="7"/>
                <w:szCs w:val="7"/>
                <w:color w:val="auto"/>
              </w:rPr>
            </w:pPr>
          </w:p>
        </w:tc>
        <w:tc>
          <w:tcPr>
            <w:tcW w:w="1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40" w:hanging="544"/>
        <w:spacing w:after="0" w:line="233" w:lineRule="auto"/>
        <w:tabs>
          <w:tab w:leader="none" w:pos="1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See Note 2 to our audited and unaudited interim financial statements included elsewhere in this prospectus for an explanation of the method used to calculate basic and diluted net loss per share and unaudited pro forma net basic and diluted loss per share as well as the weighted-average number of shares used in the computation of the per share amounts.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480" w:top="1152" w:right="5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318135</wp:posOffset>
            </wp:positionV>
            <wp:extent cx="7250430" cy="41294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4129405"/>
                    </a:xfrm>
                    <a:prstGeom prst="rect">
                      <a:avLst/>
                    </a:prstGeom>
                    <a:noFill/>
                  </pic:spPr>
                </pic:pic>
              </a:graphicData>
            </a:graphic>
          </wp:anchor>
        </w:drawing>
        <w:t>The following table sets forth summary balance sheet data as of June 30, 2019:</w:t>
      </w:r>
    </w:p>
    <w:p>
      <w:pPr>
        <w:spacing w:after="0" w:line="252" w:lineRule="exact"/>
        <w:rPr>
          <w:sz w:val="20"/>
          <w:szCs w:val="20"/>
          <w:color w:val="auto"/>
        </w:rPr>
      </w:pPr>
    </w:p>
    <w:p>
      <w:pPr>
        <w:ind w:left="720" w:right="140" w:hanging="538"/>
        <w:spacing w:after="0" w:line="268"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an actual basis (including 2,807 shares of common stock from the exercise of stock options on March 25, 2019, which were registered pursuant to Swedish law with the Swedish Companies Registration Office on August 27, 2019);</w:t>
      </w:r>
    </w:p>
    <w:p>
      <w:pPr>
        <w:spacing w:after="0" w:line="199" w:lineRule="exact"/>
        <w:rPr>
          <w:rFonts w:ascii="Arial" w:cs="Arial" w:eastAsia="Arial" w:hAnsi="Arial"/>
          <w:sz w:val="18"/>
          <w:szCs w:val="18"/>
          <w:color w:val="auto"/>
        </w:rPr>
      </w:pPr>
    </w:p>
    <w:p>
      <w:pPr>
        <w:ind w:left="720" w:hanging="538"/>
        <w:spacing w:after="0" w:line="298" w:lineRule="auto"/>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 a pro forma basis to give effect to (i) the Holdco Reorganization described under the section titled "Corporate Reorganization", (ii) the 1 for 1.6045 split of our common stock which took place on September 26, 2019, (iii) the conversion of all of our outstanding shares of convertible preferred stock into an aggregate of 13,028,292 shares of common stock immediately prior to the completion of this offering and (iv) the filing and effectiveness of our amended and restated certificate of incorporation; and</w:t>
      </w:r>
    </w:p>
    <w:p>
      <w:pPr>
        <w:spacing w:after="0" w:line="180" w:lineRule="exact"/>
        <w:rPr>
          <w:rFonts w:ascii="Arial" w:cs="Arial" w:eastAsia="Arial" w:hAnsi="Arial"/>
          <w:sz w:val="16"/>
          <w:szCs w:val="16"/>
          <w:color w:val="auto"/>
        </w:rPr>
      </w:pPr>
    </w:p>
    <w:p>
      <w:pPr>
        <w:ind w:left="720" w:right="120" w:hanging="538"/>
        <w:spacing w:after="0" w:line="259"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 pro forma as adjusted basis to give further effect to our issuance and sale of 5,666,667 shares of our common stock in this offering at the initial public offering price of $15.00 per share, after deducting underwriting discounts and commissions and estimated offering expenses payable by us.</w:t>
      </w:r>
    </w:p>
    <w:p>
      <w:pPr>
        <w:spacing w:after="0" w:line="244"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96"/>
              </w:rPr>
              <w:t>June 30, 2019</w:t>
            </w:r>
          </w:p>
        </w:tc>
        <w:tc>
          <w:tcPr>
            <w:tcW w:w="1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30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157"/>
              <w:spacing w:after="0" w:line="129" w:lineRule="exact"/>
              <w:rPr>
                <w:sz w:val="20"/>
                <w:szCs w:val="20"/>
                <w:color w:val="auto"/>
              </w:rPr>
            </w:pPr>
            <w:r>
              <w:rPr>
                <w:rFonts w:ascii="Arial" w:cs="Arial" w:eastAsia="Arial" w:hAnsi="Arial"/>
                <w:sz w:val="14"/>
                <w:szCs w:val="14"/>
                <w:b w:val="1"/>
                <w:bCs w:val="1"/>
                <w:color w:val="auto"/>
              </w:rPr>
              <w:t>Pro forma</w:t>
            </w:r>
          </w:p>
        </w:tc>
        <w:tc>
          <w:tcPr>
            <w:tcW w:w="160" w:type="dxa"/>
            <w:vAlign w:val="bottom"/>
          </w:tcPr>
          <w:p>
            <w:pPr>
              <w:spacing w:after="0"/>
              <w:rPr>
                <w:sz w:val="11"/>
                <w:szCs w:val="11"/>
                <w:color w:val="auto"/>
              </w:rPr>
            </w:pPr>
          </w:p>
        </w:tc>
      </w:tr>
      <w:tr>
        <w:trPr>
          <w:trHeight w:val="161"/>
        </w:trPr>
        <w:tc>
          <w:tcPr>
            <w:tcW w:w="23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Actual</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Pro forma</w:t>
            </w: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as adjusted</w:t>
            </w:r>
          </w:p>
        </w:tc>
      </w:tr>
      <w:tr>
        <w:trPr>
          <w:trHeight w:val="210"/>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   60,994,738</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  60,994,738</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  136,844,743</w:t>
            </w: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capital(1)</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56,215,210</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56,215,210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132,065,215</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62,214,654</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62,214,654</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138,064,659</w:t>
            </w: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5,878,053</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5,878,053</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5,878,053</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Convertible preferred stock</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118,188,993</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(61,852,392)</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56,336,601</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132,186,606</w:t>
            </w:r>
          </w:p>
        </w:tc>
      </w:tr>
      <w:tr>
        <w:trPr>
          <w:trHeight w:val="108"/>
        </w:trPr>
        <w:tc>
          <w:tcPr>
            <w:tcW w:w="2300" w:type="dxa"/>
            <w:vAlign w:val="bottom"/>
            <w:tcBorders>
              <w:bottom w:val="single" w:sz="8" w:color="auto"/>
            </w:tcBorders>
          </w:tcPr>
          <w:p>
            <w:pPr>
              <w:spacing w:after="0"/>
              <w:rPr>
                <w:sz w:val="9"/>
                <w:szCs w:val="9"/>
                <w:color w:val="auto"/>
              </w:rPr>
            </w:pPr>
          </w:p>
        </w:tc>
        <w:tc>
          <w:tcPr>
            <w:tcW w:w="2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280" w:hanging="544"/>
        <w:spacing w:after="0"/>
        <w:tabs>
          <w:tab w:leader="none" w:pos="12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We define working capital as current assets less current liabilities. See our financial statements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840" w:top="941" w:right="55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Investing in our common stock involves a high degree of risk. Before you decide to invest in our common stock, you should consider carefully the risks described below, together with the other information contained in this prospectus, including our financial statements and the related notes appearing at the end of this prospectus. We believe the risks described below are the risks that are material to us as of the date of this prospectus. If any of the following risks actually occur, our business, financial condition, results of operations and future growth prospects could be materially and adversely affected. In these circumstances, the market price of our common stock could decline, and you may lose all or part of your investment.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We have incurred significant losses in each year since inception. We expect to incur losses for the foreseeable future and may never achieve or maintain profitability.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Since our inception, we have incurred significant losses on an aggregate basis. Our net loss was $8.7 million for the six months ended June 30, 2019,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$15.5 million for the year ended December 31, 2018. Our accumulated deficit was $71.2 million as of June 30, 2019 and $62.5 million as of December 31, 2018.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have not generated any revenue to date from sales of any drugs and have financed our operations principally through private placements of our preferred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We have devoted substantially all of our efforts to research and development. Our lead product candidate, APR-246, is in clinical development, and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product candidates are in preclinical research. As a result, we expect that it will be several years, if ever, before we have any product candidates ready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commercialization. We expect to continue to incur significant expenses and increasing operating losses for the foreseeable future. The net losses we incur may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fluctuate significantly from quarter to quarter.</w:t>
      </w:r>
    </w:p>
    <w:p>
      <w:pPr>
        <w:spacing w:after="0" w:line="219"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To become and remain profitable, we must develop, obtain approval for and eventually commercialize a drug or drugs with significant market potential, either on our own or with a collaborator. This will require us to be successful in a range of challenging activities, including completing preclinical studies and clinical trials of our product candidates, obtaining marketing approval for these product candidates, manufacturing, marketing and selling those drugs for which we may obtain marketing approval and establishing and managing any collaborations for the development, marketing and/or commercialization of our product candidates.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and/or continue our operations. A decline in the value of our company could also cause you to lose all or part of your investment.</w:t>
      </w:r>
    </w:p>
    <w:p>
      <w:pPr>
        <w:spacing w:after="0" w:line="172"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Even if we succeed in commercializing one or more of our product candidates, we will continue to incur substantial research and development and other expenditures to develop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19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Our product candidates, if approved, may not achieve commercial success. Our commercial revenues, if any, will be derived from sales of drugs that we do not expect to be commercially available for many years, if at all. If we are unable to obtain product approvals or generate significant commercial revenues, our business will be materially harmed.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 w:name="page17"/>
    <w:bookmarkEnd w:id="16"/>
    <w:p>
      <w:pPr>
        <w:ind w:right="240"/>
        <w:spacing w:after="0" w:line="268" w:lineRule="auto"/>
        <w:rPr>
          <w:sz w:val="20"/>
          <w:szCs w:val="20"/>
          <w:color w:val="auto"/>
        </w:rPr>
      </w:pPr>
      <w:r>
        <w:rPr>
          <w:rFonts w:ascii="Arial" w:cs="Arial" w:eastAsia="Arial" w:hAnsi="Arial"/>
          <w:sz w:val="18"/>
          <w:szCs w:val="18"/>
          <w:b w:val="1"/>
          <w:bCs w:val="1"/>
          <w:i w:val="1"/>
          <w:iCs w:val="1"/>
          <w:color w:val="auto"/>
        </w:rPr>
        <w:t>Our limited operating history may make it difficult for you to evaluate the success of our business to date and to assess our future viability. We have never generated revenues and may never be profitable.</w:t>
      </w:r>
    </w:p>
    <w:p>
      <w:pPr>
        <w:spacing w:after="0" w:line="186"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are an early-stage company. Aprea Therapeutics AB, or Aprea AB, was originally incorporated in 2002 and commenced operations in 2006. We were incorporated in May 2019. Our operations to date have been limited to organizing and staffing our company, business planning, raising capital, developing our lead product candidate, APR-246, identifying potential product candidates, conducting preclinical studies of our product candidates and conducting clinical trials of our product candidates. All of our product candidates other than APR-246 are in preclinical research. We have not yet demonstrated our ability to successfully complete large-scale, pivotal clinical trials, obtain marketing approvals, manufacture commercial-scale drug products or arrange for a third party to do so on our behalf, or conduct sales and marketing activities necessary for successful drug commercialization. Typically, it takes about six to ten years to develop a new drug from the time it is in Phase 1 clinical trials to when it is approved for treating patients, but in many cases it may take longer. Consequently, any predictions you make about our future success or viability may not be as accurate as they could be if we had a longer operating history.</w:t>
      </w:r>
    </w:p>
    <w:p>
      <w:pPr>
        <w:spacing w:after="0" w:line="172"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addition, as a business with a limited operating history, we may encounter unforeseen expenses, difficulties, complications, delays and other known and unknown factors. We may need to transition from a company with a research focus to a company capable of supporting commercial activities. We may not be successful in such a transition.</w:t>
      </w:r>
    </w:p>
    <w:p>
      <w:pPr>
        <w:spacing w:after="0" w:line="194"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As we continue to build our business, we expect our financial condition and operating results may fluctuate significantly from quarter to quarter and year to year due to a variety of factors, many of which are beyond our control. Accordingly, you should not rely upon the results of any particular quarterly or annual periods as indications of future operating performance.</w:t>
      </w:r>
    </w:p>
    <w:p>
      <w:pPr>
        <w:spacing w:after="0" w:line="194"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We will need substantial additional funding, which may not be available to us on acceptable terms or at all. If we are unable to raise capital when needed, we may be forced to delay, reduce and/or eliminate our research and drug development programs or future commercialization efforts.</w:t>
      </w:r>
    </w:p>
    <w:p>
      <w:pPr>
        <w:spacing w:after="0" w:line="139"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Developing drug products, including conducting preclinical studies and clinical trials, is a very time-consuming, expensive and uncertain process that takes years to complete. We expect our expenses to increase in connection with our ongoing activities, particularly as we conduct clinical trials of, and seek marketing approval for, APR-246 and our other product candidates. In addition, if we obtain marketing approval for any of our product candidates, we expect to incur significant commercialization expenses related to drug sales, marketing, manufacturing and distribution to the extent that such sales, marketing, manufacturing and distribution are not the responsibility of any collaborator that we may have at such time for any such product candidate. Furthermore, commencing upon the completion of this offering, we expect to incur additional costs associated with operating as a public company. Accordingly, we will need to obtain substantial additional funding in connection with our continuing operations. If we are unable to raise capital when needed or on attractive terms, we may be forced to delay, reduce and/or eliminate our research and drug development programs or future commercialization efforts.</w:t>
      </w:r>
    </w:p>
    <w:p>
      <w:pPr>
        <w:spacing w:after="0" w:line="172"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We plan to use the net proceeds from this offering to fund our ongoing clinical trials of APR-246 and additional research and clinical development activity related to APR-246 and other programs and for working capital and other general corporate purposes, which may include additional research, hiring additional personnel, capital expenditures and the costs of operating as a public company. We will be required to expend significant funds in order to advance the development of APR-246, as well as any other product candidates. In any event, the net proceeds from this offering and our existing cash and cash equivalents will not be sufficient to fund all of the efforts that we plan to undertake or to fund the completion of development of any of our product candidates. Accordingly, we will be required to</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7" w:name="page18"/>
    <w:bookmarkEnd w:id="17"/>
    <w:p>
      <w:pPr>
        <w:ind w:right="40"/>
        <w:spacing w:after="0" w:line="306" w:lineRule="auto"/>
        <w:rPr>
          <w:sz w:val="20"/>
          <w:szCs w:val="20"/>
          <w:color w:val="auto"/>
        </w:rPr>
      </w:pPr>
      <w:r>
        <w:rPr>
          <w:rFonts w:ascii="Arial" w:cs="Arial" w:eastAsia="Arial" w:hAnsi="Arial"/>
          <w:sz w:val="16"/>
          <w:szCs w:val="16"/>
          <w:color w:val="auto"/>
        </w:rPr>
        <w:t>obtain further funding through public or private equity offerings, debt financings, collaborations and licensing arrangements or other sources. We do not have any committed external source of funds. Adequate additional financing may not be available to us on acceptable terms, or at all. Our failure to raise capital as and when needed would have a negative impact on our financial condition and our ability to pursue our business strategy.</w:t>
      </w:r>
    </w:p>
    <w:p>
      <w:pPr>
        <w:spacing w:after="0" w:line="161"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We believe that the net proceeds from this offering, together with our existing cash and cash equivalents, will enable us to fund our operating expenses and capital expenditure requirements into 2023. Our estimate as to how long we expect the net proceeds from this offering, together with our existing cash and cash equivalents, to be able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capital requirements will depend on many factors, including:</w:t>
      </w:r>
    </w:p>
    <w:p>
      <w:pPr>
        <w:spacing w:after="0" w:line="212"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progress, results and costs of our current and future clinical trials of APR-246 for our current targeted indications;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scope, progress, results and costs of drug discovery, preclinical research and clinical trials for APR-246 and our other product candidates;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future product candidates that we pursue and their development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5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or maintaining licensing or collaboration arrangements for product candidates on favorable terms, although we currently have no commitments or agreements to complete any such transactions;</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drug sales, marketing, manufacturing and distribution, for any of our product candidates for which we receive marketing approval, to the extent that such sales, marketing, manufacturing and distribution are not the responsibility of any collaborator that we may have at such time;</w:t>
      </w:r>
    </w:p>
    <w:p>
      <w:pPr>
        <w:spacing w:after="0" w:line="207"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of revenue, if any, received from commercial sales of our product candidates, should any of our product candidates receive marketing approval;</w:t>
      </w:r>
    </w:p>
    <w:p>
      <w:pPr>
        <w:spacing w:after="0" w:line="212"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defending and enforcing our intellectual property rights and defending intellectual property-related claims;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headcount growth and associated costs as we expand our business operations and our research and development activities;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including purchasers of common stock in this offering, restrict our operations or require us to relinquish rights to our product candidates.</w:t>
      </w:r>
    </w:p>
    <w:p>
      <w:pPr>
        <w:spacing w:after="0" w:line="186"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expect our expenses to increase in connection with our planned operations. Until such time, if ever, as we can generate substantial revenues from the sale of drugs, we expect to finance our cash needs through a combination of equity offerings, debt financings, collaborations, strategic alliances and/or licensing arrangements. To the extent that we raise additional capital through the sale of equity or convertible debt securities, your ownership interest may be diluted, and the terms of these securities could include liquidation or other preferences and anti-dilution protections that could adversely affect your rights as a common stockholder. In addition, debt financing, if available, would result in fixed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ind w:right="20"/>
        <w:spacing w:after="0" w:line="298" w:lineRule="auto"/>
        <w:rPr>
          <w:sz w:val="20"/>
          <w:szCs w:val="20"/>
          <w:color w:val="auto"/>
        </w:rPr>
      </w:pPr>
      <w:r>
        <w:rPr>
          <w:rFonts w:ascii="Arial" w:cs="Arial" w:eastAsia="Arial" w:hAnsi="Arial"/>
          <w:sz w:val="16"/>
          <w:szCs w:val="16"/>
          <w:color w:val="auto"/>
        </w:rPr>
        <w:t>payment obligations and may involve agreements that include restrictive covenants that limit our ability to take specific actions, such as incurring additional debt, making capital expenditures, creating liens,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16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If we raise additional funds through collaborations, strategic alliances or licensing arrangements with third parties, we may have to relinquish valuable rights to our technology, future revenue streams or product candidates or grant licenses on terms that may not be favorable to us. If we are unable to raise additional funds when needed, we may be required to delay, reduce and/or eliminate our product candidate development or future commercialization efforts or grant rights to develop and market product candidates that we would otherwise prefer to develop and market ourselves.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23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b w:val="1"/>
          <w:bCs w:val="1"/>
          <w:i w:val="1"/>
          <w:iCs w:val="1"/>
          <w:color w:val="auto"/>
        </w:rPr>
        <w:t>We are substantially dependent on the success of our lead product candidate, APR-246, which is currently in multiple clinical trials. Our clinical trials of APR-246 may not be successful. If we are unable to obtain approval for and commercialize APR-246 or experience significant delays in doing so, our business will be materially harmed.</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future success is substantially dependent on our ability to timely obtain marketing approval for, and then successfully commercialize, APR-246, our lead product candidate. We are investing a majority of our efforts and financial resources in the research and development of APR-246. Our other product candidates are in earlier stages of development. Our business depends entirely on the successful development and commercialization of our product candidates. We currently have no drugs approved for sale and generate no revenues from sales of any products, and we may never be able to develop a marketable product.</w:t>
      </w:r>
    </w:p>
    <w:p>
      <w:pPr>
        <w:spacing w:after="0" w:line="167" w:lineRule="exact"/>
        <w:rPr>
          <w:sz w:val="20"/>
          <w:szCs w:val="20"/>
          <w:color w:val="auto"/>
        </w:rPr>
      </w:pPr>
    </w:p>
    <w:p>
      <w:pPr>
        <w:ind w:right="160" w:firstLine="341"/>
        <w:spacing w:after="0" w:line="256" w:lineRule="auto"/>
        <w:rPr>
          <w:sz w:val="20"/>
          <w:szCs w:val="20"/>
          <w:color w:val="auto"/>
        </w:rPr>
      </w:pPr>
      <w:r>
        <w:rPr>
          <w:rFonts w:ascii="Arial" w:cs="Arial" w:eastAsia="Arial" w:hAnsi="Arial"/>
          <w:sz w:val="18"/>
          <w:szCs w:val="18"/>
          <w:color w:val="auto"/>
        </w:rPr>
        <w:t>APR-246 will require additional clinical development, evaluation of clinical, preclinical and manufacturing activities, marketing approval in multiple jurisdictions, substantial investment and significant marketing efforts before we generate any revenues from product sales. We are not permitted to market or promote APR-246, or any other product candidates, before we receive marketing approval from the FDA and comparable foreign regulatory authorities, and we may never receive such marketing approvals.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success of APR-246 will depend on several factors, including the following:</w:t>
      </w:r>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 and timely completion of our ongoing clinical trials of APR-246;</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initiation and successful patient enrollment and completion of additional clinical trials on a timely basis;</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demonstrate APR-246's safety, tolerability and efficacy to the FDA or any comparable foreign regulatory authority for marketing approval;</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receipt of marketing approvals for APR-246;</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obtaining and maintaining patent protection, trade secret protection and regulatory exclusivity, both in the United States and internationally;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defending and enforcing our rights in our intellectual property portfolio;</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avoiding and successfully defending against any claims that we have infringed, misappropriated or otherwise violated any intellectual property of any third party;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performance of our future collaborators, if any;</w:t>
      </w:r>
    </w:p>
    <w:p>
      <w:pPr>
        <w:spacing w:after="0" w:line="252"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of, and our ability to timely complete, any required post-marketing approval commitments imposed by FDA or other applicable regulatory authorities;</w:t>
      </w:r>
    </w:p>
    <w:p>
      <w:pPr>
        <w:spacing w:after="0" w:line="199" w:lineRule="exact"/>
        <w:rPr>
          <w:rFonts w:ascii="Arial" w:cs="Arial" w:eastAsia="Arial" w:hAnsi="Arial"/>
          <w:sz w:val="18"/>
          <w:szCs w:val="18"/>
          <w:color w:val="auto"/>
        </w:rPr>
      </w:pPr>
    </w:p>
    <w:p>
      <w:pPr>
        <w:ind w:left="1080" w:right="60" w:hanging="532"/>
        <w:spacing w:after="0" w:line="256"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establishment of supply arrangements with third-party raw materials and drug product suppliers and manufacturers who are able to manufacture clinical trial and commercial quantities of APR-246 drug substance and drug product and to develop, validate and maintain a commercially viable manufacturing process that is compliant with current good manufacturing practices, or cGMP, at a scale sufficient to meet anticipated demand and over time enable us to reduce our cost of manufacturing;</w:t>
      </w:r>
    </w:p>
    <w:p>
      <w:pPr>
        <w:spacing w:after="0" w:line="210"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establishment of scaled production arrangements with third-party manufacturers to obtain finished products that are compliant with cGMP and appropriately packaged for sale;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 launch of commercial sales following any marketing approval;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commercial acceptance by patients, the medical community and third-party payors;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third-party payors and government authorities;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availability, perceived advantages, relative cost, relative safety and relative efficacy of alternative and competing treatments;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225" w:lineRule="exact"/>
        <w:rPr>
          <w:sz w:val="20"/>
          <w:szCs w:val="20"/>
          <w:color w:val="auto"/>
        </w:rPr>
      </w:pPr>
    </w:p>
    <w:p>
      <w:pPr>
        <w:ind w:right="340" w:firstLine="348"/>
        <w:spacing w:after="0" w:line="256" w:lineRule="auto"/>
        <w:rPr>
          <w:sz w:val="20"/>
          <w:szCs w:val="20"/>
          <w:color w:val="auto"/>
        </w:rPr>
      </w:pPr>
      <w:r>
        <w:rPr>
          <w:rFonts w:ascii="Arial" w:cs="Arial" w:eastAsia="Arial" w:hAnsi="Arial"/>
          <w:sz w:val="18"/>
          <w:szCs w:val="18"/>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Accordingly, we cannot assure you that we will ever be able to generate revenue through the sale of APR-246. If we are not successful in commercializing APR-246, or are significantly delayed in doing so, our business will be materially harmed.</w:t>
      </w:r>
    </w:p>
    <w:p>
      <w:pPr>
        <w:spacing w:after="0" w:line="19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given the relatively smaller patient population who have the diseases for which our product candidates are being developed. If we experience delays or difficulties in the enrollment of patients in clinical trials, our receipt of necessary marketing approvals could be delayed or prevented.</w:t>
      </w:r>
    </w:p>
    <w:p>
      <w:pPr>
        <w:spacing w:after="0" w:line="19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comparable foreign regulatory authorities. Patient enrollment is a significant factor in the timing of clinical trials. In particular, because our clinical trials of APR-246 are focused on indications with relatively small patient populations, our ability to enroll eligible patients may be limited or may result in slower enrollment than we anticipate.</w:t>
      </w:r>
    </w:p>
    <w:p>
      <w:pPr>
        <w:spacing w:after="0" w:line="19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Patient enrollment may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 candidates. Patient enrollment may also be affected by other factors, including:</w:t>
      </w:r>
    </w:p>
    <w:p>
      <w:pPr>
        <w:spacing w:after="0" w:line="221"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238" w:lineRule="exact"/>
        <w:rPr>
          <w:rFonts w:ascii="Arial" w:cs="Arial" w:eastAsia="Arial" w:hAnsi="Arial"/>
          <w:sz w:val="18"/>
          <w:szCs w:val="18"/>
          <w:color w:val="auto"/>
        </w:rPr>
      </w:pPr>
    </w:p>
    <w:p>
      <w:pPr>
        <w:ind w:left="5620" w:right="4820" w:hanging="5072"/>
        <w:spacing w:after="0" w:line="613" w:lineRule="auto"/>
        <w:tabs>
          <w:tab w:leader="none" w:pos="1082" w:val="left"/>
        </w:tabs>
        <w:numPr>
          <w:ilvl w:val="0"/>
          <w:numId w:val="16"/>
        </w:numPr>
        <w:rPr>
          <w:rFonts w:ascii="Arial" w:cs="Arial" w:eastAsia="Arial" w:hAnsi="Arial"/>
          <w:sz w:val="16"/>
          <w:szCs w:val="16"/>
          <w:color w:val="auto"/>
        </w:rPr>
      </w:pPr>
      <w:r>
        <w:rPr>
          <w:rFonts w:ascii="Arial" w:cs="Arial" w:eastAsia="Arial" w:hAnsi="Arial"/>
          <w:sz w:val="16"/>
          <w:szCs w:val="16"/>
          <w:color w:val="auto"/>
        </w:rPr>
        <w:t>availability and efficacy of approved drugs for the disease under investigation;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20" w:name="page21"/>
    <w:bookmarkEnd w:id="20"/>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patient eligibility criteria for the trial in question;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patients' and clinicians' perceived risks and benefits of the product candidate under study;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competing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continued enrollment of prospective patients by clinical trial sites.</w:t>
      </w:r>
    </w:p>
    <w:p>
      <w:pPr>
        <w:spacing w:after="0" w:line="225"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which would cause the value of our company to decline and limit our ability to obtain additional financing.</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reactivation of p53 is a novel and unproven therapeutic approach and our development of APR-246 may never lead to a marketable product.</w:t>
      </w:r>
    </w:p>
    <w:p>
      <w:pPr>
        <w:spacing w:after="0" w:line="248"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 xml:space="preserve">We are developing APR-246 for its ability to reactivate the tumor suppressor protein p53, the protein product of the </w:t>
      </w:r>
      <w:r>
        <w:rPr>
          <w:rFonts w:ascii="Arial" w:cs="Arial" w:eastAsia="Arial" w:hAnsi="Arial"/>
          <w:sz w:val="16"/>
          <w:szCs w:val="16"/>
          <w:i w:val="1"/>
          <w:iCs w:val="1"/>
          <w:color w:val="auto"/>
        </w:rPr>
        <w:t>TP53</w:t>
      </w:r>
      <w:r>
        <w:rPr>
          <w:rFonts w:ascii="Arial" w:cs="Arial" w:eastAsia="Arial" w:hAnsi="Arial"/>
          <w:sz w:val="16"/>
          <w:szCs w:val="16"/>
          <w:color w:val="auto"/>
        </w:rPr>
        <w:t xml:space="preserve"> gene and the most commonly mutated gene in cancer. We are also developing a next-generation p53 reactivator, APR-548, for potential use in multiple hematologic malignancy indications. We believe that mutant p53 is an attractive target for novel cancer therapy due to the high incidence of p53 mutations across a range of cancer types and the universally inferior prognosis for cancer patients with mutated p53. However, to our knowledge, no one has advanced a product candidate with this mechanism of action into clinical development. The scientific evidence to support the feasibility of developing these product candidates is both preliminary and limited. For instance, even though APR-246 has shown promising results in preclinical studies and early-stage clinical trials, we may not succeed in demonstrating safety and efficacy of APR-246 in larger-scale clinical trials, including our pivotal Phase 3 clinical trial. Advancing APR-246 as a novel product to reactivate p53 creates significant challenges for us, including:</w:t>
      </w:r>
    </w:p>
    <w:p>
      <w:pPr>
        <w:spacing w:after="0" w:line="186" w:lineRule="exact"/>
        <w:rPr>
          <w:sz w:val="20"/>
          <w:szCs w:val="20"/>
          <w:color w:val="auto"/>
        </w:rPr>
      </w:pPr>
    </w:p>
    <w:p>
      <w:pPr>
        <w:ind w:left="10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marketing approval, as obtaining regulatory approval of a p53 reactivator from the FDA or comparable foreign regulatory authorities has never been done before;</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educating medical personnel regarding the potential efficacy and safety benefits, as well as the challenges, of incorporating our product candidates, if approved, into treatment regimens;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the sales and marketing capabilities to gain market acceptance, if approved.</w:t>
      </w:r>
    </w:p>
    <w:p>
      <w:pPr>
        <w:spacing w:after="0" w:line="225"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b w:val="1"/>
          <w:bCs w:val="1"/>
          <w:i w:val="1"/>
          <w:iCs w:val="1"/>
          <w:color w:val="auto"/>
        </w:rPr>
        <w:t>If serious adverse or unacceptable side effects are identified during the development of our product candidates or we observe limited efficacy of our product candidates, we may need to abandon or limit the development of one or more of our product candidates.</w:t>
      </w:r>
    </w:p>
    <w:p>
      <w:pPr>
        <w:spacing w:after="0" w:line="139"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Adverse events or unacceptable side effects caused by, or other unexpected properties of, our product candidates could cause us, any future collaborators, an institutional review board, or IRB, or regulatory authorities to interrupt, delay or halt clinical trials of one or more of our product candidates and could result in the (i) delay or denial of marketing approval by the FDA or comparable foreign regulatory authorities, (ii) approval with significant restrictions on distribution or (iii) required labeling information regarding safety concerns, if approved.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21" w:name="page22"/>
    <w:bookmarkEnd w:id="21"/>
    <w:p>
      <w:pPr>
        <w:ind w:right="40" w:firstLine="351"/>
        <w:spacing w:after="0" w:line="310" w:lineRule="auto"/>
        <w:rPr>
          <w:sz w:val="20"/>
          <w:szCs w:val="20"/>
          <w:color w:val="auto"/>
        </w:rPr>
      </w:pPr>
      <w:r>
        <w:rPr>
          <w:rFonts w:ascii="Arial" w:cs="Arial" w:eastAsia="Arial" w:hAnsi="Arial"/>
          <w:sz w:val="15"/>
          <w:szCs w:val="15"/>
          <w:color w:val="auto"/>
        </w:rPr>
        <w:t>In general, our clinical trials of APR-246 include cancer patients who are very sick and whose health is deteriorating, and we expect that additional clinical trials of APR-246 and our other product candidates will include similar patients with deteriorating health. Multiple patients in our trials have experienced adverse events, including serious adverse events. The most commonly reported adverse events include nausea, vomiting, constipation, dizziness and neutropenia. Some patients in our trials have experienced serious adverse events. See "Business—Our Approach." In the U.S. Phase 1b/2 MDS/AML Trial, serious adverse events, regardless of causality, reported for more than one patient were: febrile neutropenia (27%), lung infection (9%), infections and infestations (5%), respiratory failure (5%), sepsis (5%), vomiting (5%), chest pain (4%), dehydration (4%), intracranial hemorrhage (4%) and multi-organ failure (4%). In the Phase 1b/2 Clinical Trial of APR 246 in Platinum Sensitive Ovarian Cancer (PiSARRO), serious adverse events, regardless of causality, reported in more than one patient were: device related infection (17%), vomiting (17%), febrile neutropenia (8%), infection (6%), small intestinal obstruction (6%) and thrombocytopenia (6%).</w:t>
      </w:r>
    </w:p>
    <w:p>
      <w:pPr>
        <w:spacing w:after="0" w:line="16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Some patients have died during their participation in the clinical trials for APR-246, and there has been one death reported by an investigator as possibly related to both APR-246 and azacitidine. We believe this death may have been caused by the underlying disease, other comorbidities from which such patient was suffering or the other co-administered treatments. Any deaths occurring in our clinical trials, whether related to our product candidate or not, could affect perceptions relating to our product candidate.</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If any of our product candidates are associated with adverse events or undesirable side effects or have properties that are unexpected, our trials could be suspended or terminated and the FDA or comparable foreign regulatory authorities could order us to cease further development of or deny approval of our product candidates for any or all targeted indications. We, or any future collaborators, may abandon development or limit development of that product candidate to certain uses or subpopulations in which the undesirable side effects or other characteristics are less prevalent, less severe or more acceptable from a risk-benefit perspective. Drug-related side effects could affect patient recruitment or the ability of enrolled patients to complete the trial or result in potential product liability claims. Any of these occurrences may harm our business, results of operations, financial condition and prospects significantly.</w:t>
      </w:r>
    </w:p>
    <w:p>
      <w:pPr>
        <w:spacing w:after="0" w:line="17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The outcome of preclinical testing and early clinical trials may not be predictive of the success of later clinical trials, interim results of a clinical trial do not necessarily predict final results, and the results of our clinical trials may not satisfy the requirements of the FDA or comparable foreign regulatory authorities.</w:t>
      </w:r>
    </w:p>
    <w:p>
      <w:pPr>
        <w:spacing w:after="0" w:line="194"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currently have no drugs approved for sale and we cannot guarantee that we will ever have marketable drugs. Clinical failure can occur at any stage of clinical development. Clinical trials may produce negative or inconclusive results, and we or any future collaborators may decide, or regulators may require us, to conduct additional clinical trials or preclinical studies. We will be required to demonstrate with substantial evidence through adequate and well-controlled clinical trials that our product candidates are safe and effective for use in treating specific conditions in order to obtain marketing approvals for their commercial sale. Success in preclinical studies and early-stage clinical trials does not mean that future larger registration clinical trials will be successful because product candidates in later-stage clinical trials may fail to demonstrate safety and efficacy to the satisfaction of the FDA and non-U.S. regulatory authorities despite having progressed through preclinical studies and early-stage clinical trials. Product candidates that have shown promising results in preclinical studies and early-stage clinical trials may still suffer significant setbacks in subsequent registration clinical trials. Additionally, the outcome of preclinical studies and early-stage clinical trials may not be predictive of the success of later-stage clinical trials.</w:t>
      </w:r>
    </w:p>
    <w:p>
      <w:pPr>
        <w:spacing w:after="0" w:line="174"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From time to time, we may publish or report interim or preliminary data from our clinical trials. Interim or preliminary data from clinical trials that we may conduct may not be indicative of the final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ind w:right="260"/>
        <w:spacing w:after="0" w:line="306" w:lineRule="auto"/>
        <w:rPr>
          <w:sz w:val="20"/>
          <w:szCs w:val="20"/>
          <w:color w:val="auto"/>
        </w:rPr>
      </w:pPr>
      <w:r>
        <w:rPr>
          <w:rFonts w:ascii="Arial" w:cs="Arial" w:eastAsia="Arial" w:hAnsi="Arial"/>
          <w:sz w:val="16"/>
          <w:szCs w:val="16"/>
          <w:color w:val="auto"/>
        </w:rPr>
        <w:t>results of the trial and are subject to the risk that one or more of the clinical outcomes may materially change as patient enrollment continues and more patient data become available. Interim or preliminary data also remain subject to audit and verification procedures that may result in the final data being materially different from the interim or preliminary data. As a result, interim or preliminary data should be viewed with caution until the final data are available.</w:t>
      </w:r>
    </w:p>
    <w:p>
      <w:pPr>
        <w:spacing w:after="0" w:line="161"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In addition, the design of a clinical trial can determine whether its results will support approval of a drug and flaws in the design of a clinical trial may not become apparent until the clinical trial is well advanced. We have limited experience in designing clinical trials and may be unable to design and conduct a clinical trial to support marketing approval. Further, if our product candidates are found to be unsafe or lack efficacy, we will not be able to obtain marketing approval for them and our business would be harmed. A number of companies in the pharmaceutical industry, including those with greater resources and experience than us, have suffered significant setbacks in advanced clinical trials, even after obtaining promising results in preclinical studies and earlier clinical trials.</w:t>
      </w:r>
    </w:p>
    <w:p>
      <w:pPr>
        <w:spacing w:after="0" w:line="198"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 We do not know whether any clinical trials we may conduct will demonstrate consistent or adequate efficacy and safety sufficient to obtain marketing approval to market our product candidates.</w:t>
      </w:r>
    </w:p>
    <w:p>
      <w:pPr>
        <w:spacing w:after="0" w:line="16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have multiple clinical trials of APR-246 currently ongoing. In the event that an adverse safety issue, clinical hold or other adverse finding occurs in one or more of our clinical trials of APR-246, such event could adversely affect our other clinical trials of APR-246. Moreover, there is a relatively limited safety data set for product candidates that are designed to reactivate p53. An adverse safety issue or other adverse finding in a clinical trial conducted by a third party with a product candidate reactivate p53, could adversely affect our clinical trials of APR-246.</w:t>
      </w:r>
    </w:p>
    <w:p>
      <w:pPr>
        <w:spacing w:after="0" w:line="197"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Further, our product candidates may not be approved even if they achieve their primary endpoints in Phase 3 clinical trials or registration trials. The FDA or non-U.S. regulatory authorities may disagree with our trial design and our interpretation of data from preclinical studies and clinical trials. In addition, any of these regulatory authorities may change requirements for the approval of a product candidate even after reviewing and providing comments or advice on a protocol for a pivotal clinical trial that has the potential to result in approval by the FDA or another regulatory authority. In addition, any of these regulatory authorities may also approve a product candidate for fewer or more limited indications than we request or may grant approval contingent on the performance of costly post-marketing clinical trials. In addition, the FDA or other comparable foreign regulatory authorities may not approve the labeling claims that we believe would be necessary or desirable for the successful commercialization of our product candidates.</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Before obtaining marketing approvals for the commercial sale of any product candidate for a target indication, we must demonstrate with substantial evidence gathered in preclinical studies and adequate and well-controlled clinical trials, and, with respect to approval in the United States, to the satisfaction of the FDA and other comparable foreign regulatory authorities, that the product candidate is safe and effective for use for that target indication. There is no assurance that the FDA or other comparable foreign regulatory authorities will consider our future clinical trials to be sufficient to serve as the basis for approval of one of our product candidates for any indication. The FDA and other comparable foreign regulatory authorities retain broad discretion in evaluating the results of our clinical trials and in determining whether the results demonstrate that a product candidate is safe and effective. If we are required to conduct additional clinical trials of a product candidate than we expect prior to its approval, we will need substantial additional funds and there is no assurance that the results of any such additional clinical trials will be sufficient for approval.</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 w:name="page24"/>
    <w:bookmarkEnd w:id="23"/>
    <w:p>
      <w:pPr>
        <w:ind w:right="140"/>
        <w:spacing w:after="0" w:line="335" w:lineRule="auto"/>
        <w:rPr>
          <w:sz w:val="20"/>
          <w:szCs w:val="20"/>
          <w:color w:val="auto"/>
        </w:rPr>
      </w:pPr>
      <w:r>
        <w:rPr>
          <w:rFonts w:ascii="Arial" w:cs="Arial" w:eastAsia="Arial" w:hAnsi="Arial"/>
          <w:sz w:val="15"/>
          <w:szCs w:val="15"/>
          <w:b w:val="1"/>
          <w:bCs w:val="1"/>
          <w:i w:val="1"/>
          <w:iCs w:val="1"/>
          <w:color w:val="auto"/>
        </w:rPr>
        <w:t>Clinical drug development is a lengthy and expensive process, with an uncertain outcome. If clinical trials of our product candidates fail to demonstrate safety and efficacy to the satisfaction of regulatory authorities or do not otherwise produce positive results, we may incur additional costs, experience delays in completing, or ultimately be unable to complete, the development of our product candidates or be unable to obtain marketing approval.</w:t>
      </w:r>
    </w:p>
    <w:p>
      <w:pPr>
        <w:spacing w:after="0" w:line="14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complete preclinical development and then conduct extensive clinical trials to demonstrate the safety and efficacy of our product candidates. Clinical testing is expensive, difficult to design and implement, can take many years to complete and is uncertain as to outcome. A failure of one or more clinical trials can occur at any stage of testing. The outcome of preclinical studies and early-stage clinical trials may not be predictive of the success of later clinical trials, and interim results of a clinical trial, such as the results of our ongoing clinical trials of APR-246,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spacing w:after="0" w:line="172" w:lineRule="exact"/>
        <w:rPr>
          <w:sz w:val="20"/>
          <w:szCs w:val="20"/>
          <w:color w:val="auto"/>
        </w:rPr>
      </w:pPr>
    </w:p>
    <w:p>
      <w:pPr>
        <w:jc w:val="both"/>
        <w:ind w:right="540" w:firstLine="348"/>
        <w:spacing w:after="0" w:line="370" w:lineRule="auto"/>
        <w:rPr>
          <w:sz w:val="20"/>
          <w:szCs w:val="20"/>
          <w:color w:val="auto"/>
        </w:rPr>
      </w:pPr>
      <w:r>
        <w:rPr>
          <w:rFonts w:ascii="Arial" w:cs="Arial" w:eastAsia="Arial" w:hAnsi="Arial"/>
          <w:sz w:val="15"/>
          <w:szCs w:val="15"/>
          <w:color w:val="auto"/>
        </w:rPr>
        <w:t>We do not know whether ongoing clinical trials will be completed on schedule or at all, or whether future clinical trials will begin on time, need to be redesigned, enroll patients on time or be completed on schedule, if at all. Clinical trials can be delayed for a variety of reasons, including delays related to:</w:t>
      </w:r>
    </w:p>
    <w:p>
      <w:pPr>
        <w:spacing w:after="0" w:line="130"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regulatory authorization to commence a trial;</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or CROs, and clinical trial sites, the terms of which can be subject to extensive negotiation and may vary significantly among different CROs and clinical trial sites;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institutional review board or ethics committee approval at each clinical trial site;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developing and validating any companion diagnostic to be used in the trial, to the extent we are required to do so;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patients failing to comply with the clinical trial protocol or dropping out of a trial;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clinical trial sites failing to comply with the clinical trial protocol or dropping out of a trial;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addressing any conflicts with new or existing laws or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need to add new clinical trial sites;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manufacturing sufficient quantities of product candidate for use in clinical trials and ensuring clinical trial material is provided to clinical sites in a timely manner; or</w:t>
      </w:r>
    </w:p>
    <w:p>
      <w:pPr>
        <w:spacing w:after="0" w:line="21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advice from regulatory authorities regarding the statistical analysis plan to be used to evaluate the clinical trial data or other trial design issues.</w:t>
      </w:r>
    </w:p>
    <w:p>
      <w:pPr>
        <w:spacing w:after="0" w:line="186"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19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receive feedback from regulatory authorities that requires us to modify the design of our clinical trials;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drug development programs;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ind w:left="1080" w:right="20" w:hanging="532"/>
        <w:spacing w:after="0" w:line="33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66"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third-party contractors, including our CROs, may fail to comply with regulatory requirements or meet their contractual obligations to us in a timely manner, or at all;</w:t>
      </w:r>
    </w:p>
    <w:p>
      <w:pPr>
        <w:spacing w:after="0" w:line="199" w:lineRule="exact"/>
        <w:rPr>
          <w:rFonts w:ascii="Arial" w:cs="Arial" w:eastAsia="Arial" w:hAnsi="Arial"/>
          <w:sz w:val="18"/>
          <w:szCs w:val="18"/>
          <w:color w:val="auto"/>
        </w:rPr>
      </w:pPr>
    </w:p>
    <w:p>
      <w:pPr>
        <w:ind w:left="1080" w:right="300" w:hanging="532"/>
        <w:spacing w:after="0" w:line="306"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our investigators, or any of the overseeing IRBs or ethics committees might decide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regulators may revise the requirements for approving our product candidates, or such requirements may not be as we anticipate; and</w:t>
      </w:r>
    </w:p>
    <w:p>
      <w:pPr>
        <w:spacing w:after="0" w:line="261" w:lineRule="exact"/>
        <w:rPr>
          <w:rFonts w:ascii="Arial" w:cs="Arial" w:eastAsia="Arial" w:hAnsi="Arial"/>
          <w:sz w:val="16"/>
          <w:szCs w:val="16"/>
          <w:color w:val="auto"/>
        </w:rPr>
      </w:pPr>
    </w:p>
    <w:p>
      <w:pPr>
        <w:ind w:left="1080" w:right="6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future collaborators that conduct clinical trials may face any of the above issues, and may conduct clinical trials in ways they view as advantageous to them but that are suboptimal for us.</w:t>
      </w:r>
    </w:p>
    <w:p>
      <w:pPr>
        <w:spacing w:after="0" w:line="186"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insufficiently positive to support marketing approval, or if there are safety concerns, we may:</w:t>
      </w:r>
    </w:p>
    <w:p>
      <w:pPr>
        <w:spacing w:after="0" w:line="221"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unplanned costs;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or not obtain marketing approval at all;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obtain marketing approval for indications or patient populations that are narrower or more limited in scope than intended or desired;</w:t>
      </w:r>
    </w:p>
    <w:p>
      <w:pPr>
        <w:spacing w:after="0" w:line="261"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marketing approval subject to significant use or distribution restrictions or with labeling that includes significant safety warnings, including boxed warnings;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the drug removed from the market after obtaining marketing approval.</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drug development costs will also increase if we experience delays in testing or marketing approvals. We do not know whether clinical trials will begin as planned, will need to be restructured or will be completed on schedule, or at all. Furthermore, we rely on third-party CROs and clinical trial sites to ensure the proper and timely conduct of our clinical trials, and while we have agreements governing their committed activities, we have limited influence over their actual performance. Significant clinical trial delays also could shorten any periods during which we may have the exclusive right to commercialize our product candidates or allow our competitors to bring drugs to market before we do and impair our ability to successfully commercialize our product candidates and may harm our business and results of operations.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25" w:name="page26"/>
    <w:bookmarkEnd w:id="25"/>
    <w:p>
      <w:pPr>
        <w:ind w:right="200"/>
        <w:spacing w:after="0" w:line="268"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collaboration, licensing or other strategic arrangements in cases in which it would have been more advantageous for us to retain sole development and commercialization rights to such product candidate.</w:t>
      </w:r>
    </w:p>
    <w:p>
      <w:pPr>
        <w:spacing w:after="0" w:line="172"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b w:val="1"/>
          <w:bCs w:val="1"/>
          <w:i w:val="1"/>
          <w:iCs w:val="1"/>
          <w:color w:val="auto"/>
        </w:rPr>
        <w:t>The failure to obtain required regulatory clearances or approvals for any companion diagnostic tests that we may pursue may prevent or delay approval of any of our product candidates. Moreover, the commercial success of any of our product candidates that require a companion diagnostic will be tied to the receipt of any required regulatory clearances or approvals and the continued availability of such tests.</w:t>
      </w:r>
    </w:p>
    <w:p>
      <w:pPr>
        <w:spacing w:after="0" w:line="16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connection with the clinical development of our product candidates for certain indications, we may work with collaborators to develop or obtain access to companion diagnostic tests to identify appropriate patients for our product candidates. We may rely on third parties for the development, testing and manufacturing of these companion diagnostics, the application for and receipt of any required regulatory clearances or approvals, and the commercial supply of these companion diagnostics. The FDA and foreign regulatory authorities regulate companion diagnostics as medical devices that will likely be subject to clinical trials in conjunction with the clinical trials for product candidates, and which will require separate regulatory clearance or approval prior to commercialization. This process could include additional meetings with health authorities, such as a pre-submission meeting and the requirement to submit an investigational device exemption. In the case of a companion diagnostic that is designated as "significant risk device," approval of an investigational device exemption by the FDA and IRB is required before such diagnostic is used in conjunction with the clinical trials for a corresponding product candidate. We or our third-party collaborators may fail to obtain the required regulatory clearances or approvals, which could prevent or delay approval of our product candidates. In addition, the commercial success of any of our product candidates that require a companion diagnostic will be tied to and dependent upon the receipt of required regulatory clearances or approvals and the continued ability of such third parties to make the companion diagnostic commercially available to us on reasonable terms in the relevant geographies.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potential product candidates.</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Our research programs may initially show promise in identifying potential product candidates, yet fail to yield product candidates for clinical development for a number of reasons, including:</w:t>
      </w:r>
    </w:p>
    <w:p>
      <w:pPr>
        <w:spacing w:after="0" w:line="19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product candidates;</w:t>
      </w:r>
    </w:p>
    <w:p>
      <w:pPr>
        <w:spacing w:after="0" w:line="252"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be drugs that will receive marketing approval and/or achieve market acceptance;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product candidates may not be safe or effective in treating their targeted diseases.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 w:name="page27"/>
    <w:bookmarkEnd w:id="26"/>
    <w:p>
      <w:pPr>
        <w:ind w:right="420" w:firstLine="351"/>
        <w:spacing w:after="0" w:line="268" w:lineRule="auto"/>
        <w:rPr>
          <w:sz w:val="20"/>
          <w:szCs w:val="20"/>
          <w:color w:val="auto"/>
        </w:rPr>
      </w:pPr>
      <w:r>
        <w:rPr>
          <w:rFonts w:ascii="Arial" w:cs="Arial" w:eastAsia="Arial" w:hAnsi="Arial"/>
          <w:sz w:val="18"/>
          <w:szCs w:val="18"/>
          <w:color w:val="auto"/>
        </w:rPr>
        <w:t>Research programs to identify new product candidates require substantial technical, financial and human resources. If we are unable to identify suitable compounds for preclinical and clinical development, our business would be harmed.</w:t>
      </w:r>
    </w:p>
    <w:p>
      <w:pPr>
        <w:spacing w:after="0" w:line="186"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or that of any future collaborators, to market the drug could be compromised.</w:t>
      </w:r>
    </w:p>
    <w:p>
      <w:pPr>
        <w:spacing w:after="0" w:line="11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Clinical trials of our product candidates must be conducted in carefully defined subsets of patients who have agreed to enter into clinical trials. Consequently, it is possible that our clinical trials, or those of any future collaborator, may indicate an apparent positive effect of a product candidate that is greater than the actual positive effect, if any, or alternatively fail to identify undesirable side effects. If one or more of our product candidates receives marketing approval and we, or others, discover that the drug is less effective than previously believed or causes undesirable side effects that were not previously identified, a number of potentially significant negative consequences could result, including:</w:t>
      </w:r>
    </w:p>
    <w:p>
      <w:pPr>
        <w:spacing w:after="0" w:line="210"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drug or seize the drug;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or any future collaborators, may be required to recall the drug, change the way the drug is administered or conduct additional clinical trials;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or the manufacturing processes for, the particular drug;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or any future collaborators, may be required to create a Medication Guide outlining the risks of the previously unidentified side effects for distribution to patients;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or any future collaborators, could be sued and held liable for harm caused to patients;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drug may become less competitive in the marketplace;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these events could have a material and adverse effect on our operations and business and could adversely impact our stock price.</w:t>
      </w:r>
    </w:p>
    <w:p>
      <w:pPr>
        <w:spacing w:after="0" w:line="225"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b w:val="1"/>
          <w:bCs w:val="1"/>
          <w:i w:val="1"/>
          <w:iCs w:val="1"/>
          <w:color w:val="auto"/>
        </w:rPr>
        <w:t>Even if any of our product candidates receive marketing approval, they may fail to achieve the degree of market acceptance by physicians, patients, healthcare payors and others in the medical community necessary for commercial success.</w:t>
      </w:r>
    </w:p>
    <w:p>
      <w:pPr>
        <w:spacing w:after="0" w:line="186"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If any of our product candidates receive marketing approval, they may nonetheless fail to gain sufficient market acceptance by physicians, patients, healthcare payors and others in the medical community. For example, current cancer treatments like chemotherapy and radiation therapy are well-established in the medical community, and doctors may continue to rely on these treatments. If our product candidates do not achieve an adequate level of acceptance, we may not generate significant revenues from sales of drugs and we may not become profitable. The degree of market acceptance of our product candidates, if approved for commercial sale, will depend on a number of factors, including:</w:t>
      </w:r>
    </w:p>
    <w:p>
      <w:pPr>
        <w:spacing w:after="0" w:line="210"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potential advantages of the product compared to alternative therapies;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whether the product is designated under physician and other provider treatment guidelines as a first-, second- or third-line therapy;</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or the ability of any future collaborators, to offer the product for sale at competitive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product's convenience and ease of administration for patients and healthcare practitioners compared to alternative treatments;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and of physicians to prescribe, the product;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limitations or warnings, including distribution or use restrictions and safety information contained in the product's approved labeling;</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the product;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availability of coverage by, and the amount of reimbursement from, government payors, managed care plans and other third-party payors.</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substantial competition, which may result in others discovering, developing or commercializing products before or more successfully than we do.</w:t>
      </w:r>
    </w:p>
    <w:p>
      <w:pPr>
        <w:spacing w:after="0" w:line="260"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pharmaceutical and biotechnology industries generally, and the cancer drug sector specifically, are highly competitive and characterized by rapidly advancing technologies, evolving understanding of disease etiology and a strong emphasis on proprietary drugs. We face competition with respect to APR-246, our lead product candidate, and will face competition with respect to any product candidates that we may seek to discover and develop or commercialize in the future, from major pharmaceutical, specialty pharmaceutical and biotechnology companies. There are a number of major pharmaceutical, specialty pharmaceutical and biotechnology companies that currently market and sell drugs or are pursuing the development of drugs for the treatment of cancer. Potential competitors also include academic institutions and governmental agencies and public and private research institutions.</w:t>
      </w:r>
    </w:p>
    <w:p>
      <w:pPr>
        <w:spacing w:after="0" w:line="17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There are a large number of companies developing or marketing treatments for cancer, including the indications for which we may develop product candidates. Many of the companies that we compete or may compete against in the future have significantly greater financial resources and expertise in research and development, manufacturing, preclinical testing, conducting clinical trials, obtaining regulatory approvals and marketing approved drugs than we do. Small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that may be necessary for, our programs.</w:t>
      </w:r>
    </w:p>
    <w:p>
      <w:pPr>
        <w:spacing w:after="0" w:line="17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drugs that are safer, more effective, have fewer or less severe side effects, are more convenient or are less expensive than any drugs that we may develop. Our competitors also may obtain FDA or other regulatory approval for their drugs more rapidly than we may obtain approval for ours, which could result in our competitors establishing a strong market position before we are able to enter the market. The key competitive factors affecting the success of all of our product candidates, if approved, are likely to be their efficacy, safety, convenience, price, the effectiveness of companion diagnostics in guiding the use of related therapeutics, the level of generic competition and the availability of reimbursement from government and other third-party payors.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28" w:name="page29"/>
    <w:bookmarkEnd w:id="28"/>
    <w:p>
      <w:pPr>
        <w:ind w:right="100" w:firstLine="348"/>
        <w:spacing w:after="0" w:line="289" w:lineRule="auto"/>
        <w:rPr>
          <w:sz w:val="20"/>
          <w:szCs w:val="20"/>
          <w:color w:val="auto"/>
        </w:rPr>
      </w:pPr>
      <w:r>
        <w:rPr>
          <w:rFonts w:ascii="Arial" w:cs="Arial" w:eastAsia="Arial" w:hAnsi="Arial"/>
          <w:sz w:val="16"/>
          <w:szCs w:val="16"/>
          <w:color w:val="auto"/>
        </w:rPr>
        <w:t>The most common methods of treating patients with cancer are surgery, radiation and drug therapy. There are a variety of available drug therapies marketed for cancer. In many cases, these drugs are administered in combination to enhance efficacy. Some of the currently-approved drug therapies are branded and subject to patent protection and may be established as the standard of care for treatment of indications for which we may choose to seek regulatory approvals. Many of these approved drugs are well-established therapies and are widely accepted by physicians, patients and third-party payors, and, even if our product candidates were to be approved, there can be no assurance that our product candidates would displace existing treatments. In addition to currently marketed therapies, there are also a number of drugs in late-stage clinical development to treat cancer, including the indications for which we are developing product candidates. These clinical-stage product candidates may provide efficacy, safety, convenience and other benefits that are not provided by currently-marketed therapies. As a result, they may provide significant competition for any of our product candidates for which we obtain regulatory approval.</w:t>
      </w:r>
    </w:p>
    <w:p>
      <w:pPr>
        <w:spacing w:after="0" w:line="172"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are developing our lead product candidate, APR-246, to reactivate p53 for the treatment of various cancers. We are aware of other product candidates that are in clinical development for the treatment of various cancers through the reactivation of p53. Although there is a subset of drugs that directly target the p53 pathway, there are many cancer drugs that claim to affect the p53 pathway by upstream or complementary pathways. We are aware of selective small molecule inhibitors that are designed to target the p53-MDM2 interaction in various stages of clinical development being tested by F. Hoffmann-La Roche Ltd and Hoffmann-La Roche Inc., or collectively Roche, Amgen Inc., Novartis AG, Daiichi Sankyo Co., Ltd, and Aileron Therapeutics, Inc. If APR-246 were to be approved for the indications for which we currently have ongoing clinical trials, it will compete with currently-marketed drugs or drugs that may be approved for marketing by the FDA or comparable foreign regulatory authorities in the future and such competition will not be limited to drugs that act through the reactivation of p53.</w:t>
      </w:r>
    </w:p>
    <w:p>
      <w:pPr>
        <w:spacing w:after="0" w:line="19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Our business and operations would suffer in the event of IT system failures, cybersecurity attacks, data breaches, or vulnerabilities in our or our third-party vendors' information security program or defenses.</w:t>
      </w:r>
    </w:p>
    <w:p>
      <w:pPr>
        <w:spacing w:after="0" w:line="186"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Our business relies upon information technology systems operated by us and by our third party service providers. These systems may fail or experience operational disruption, experience cybersecurity attacks, or be damaged by computer viruses and unauthorized access.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While we are currently in the process of developing and implementing policies and procedures to ensure the security and integrity of our information technology systems and confidential and proprietary information, we do not currently have any such policies and procedures formally in place. If we fail to develop and maintain adequate policies and procedures for the protection of our information technology systems and confidential and proprietary information, we may be vulnerable to security breaches or disruptions and system breakdowns or other damage or interruptions. We also have outsourced elements of our operations to third parties, and as a result we manage a number of third-party vendors and other contractors and consultants who have access to or store our confidential information. We do not conduct audits or formal evaluations of our third-party vendors' information technology systems and cannot be sure that our third-party vendors have sufficient measures in place to ensure the security and integrity of their information technology systems and our confidential and proprietary information. If our third-party vendors fail to protect their information technology systems and our confidential and proprietary information, we may be vulnerable to disruptions in service and unauthorized access to our confidential or proprietary information and we could incur liability and reputational damage and the further development and commercialization of our product candidates could be delayed. While we have not, to our knowledge, experienced any material IT system failures or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line="286" w:lineRule="auto"/>
        <w:rPr>
          <w:sz w:val="20"/>
          <w:szCs w:val="20"/>
          <w:color w:val="auto"/>
        </w:rPr>
      </w:pPr>
      <w:r>
        <w:rPr>
          <w:rFonts w:ascii="Arial" w:cs="Arial" w:eastAsia="Arial" w:hAnsi="Arial"/>
          <w:sz w:val="16"/>
          <w:szCs w:val="16"/>
          <w:color w:val="auto"/>
        </w:rPr>
        <w:t>cybersecurity attacks to date, we cannot assure you that our data protection efforts and our investment in information technology will prevent significant breakdowns, data leakages, breaches in our systems or those of our third-party vendors and other contractors and consultants, or other cyber incidents that could have a material adverse effect upon our reputation, business, operations or financial condition. If such an event were to occur and cause interruptions in our operations, it could result in a material disruption of our development programs, business operations, a breach of sensitive personal information or a loss or corruption of critical data assets including trade secrets or other proprietary information. For example, the loss of clinical trial data from future clinical trials could result in delays in our regulatory approval efforts and significantly increase our costs to recover or reproduce the data. Such IT system failures, cybersecurity attacks or vulnerabilities to our or our third-party vendors' information security programs or defenses could result in legal liability, reputational damage, business interruption, and our competitive position could be harmed and the further development and commercialization of our products or any future products could be delayed or disrupted. Moreover, containing and remediating any IT system failure, cybersecurity attack or vulnerability may require significant investment of resources. Furthermore, significant security breaches or disruptions of our internal information technology systems or those of our third-party vendors and other contractors and consultants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w:t>
      </w:r>
    </w:p>
    <w:p>
      <w:pPr>
        <w:spacing w:after="0" w:line="175"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b w:val="1"/>
          <w:bCs w:val="1"/>
          <w:i w:val="1"/>
          <w:iCs w:val="1"/>
          <w:color w:val="auto"/>
        </w:rPr>
        <w:t>If we are required to in the future and if we are unable to successfully develop companion diagnostic tests for our product candidates that require such tests, or experience significant delays in doing so, we may not realize the full commercial potential of these product candidates.</w:t>
      </w:r>
    </w:p>
    <w:p>
      <w:pPr>
        <w:spacing w:after="0" w:line="139"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may be required by the FDA to develop, either by ourselves or with collaborators, companion diagnostic tests for our product candidates for certain indications. To be successful, we or our collaborators will need to address a number of scientific, technical, regulatory and logistical challenges. We have no prior experience with medical device or diagnostic test development. If we choose to develop and seek FDA approval for companion diagnostic tests on our own, we will require additional personnel. We may rely on third parties for the design, development and manufacture of companion diagnostic tests for our therapeutic product candidates that require such tests. If these parties are unable to successfully develop companion diagnostics for these therapeutic product candidates, or experience delays in doing so, we may be unable to enroll enough patients for our current and planned clinical trials, the development of these therapeutic product candidates may be adversely affected, these therapeutic product candidates may not obtain marketing approval, and we may not realize the full commercial potential of any of these therapeutics that obtain marketing approval. Any failure to successfully develop this companion diagnostic may cause or contribute to delayed enrollment of this trial, and may prevent us from initiating or completing further clinical trials to support marketing approval for our product candidates. As a result, our business, results of operations and financial condition could be materially harmed.</w:t>
      </w:r>
    </w:p>
    <w:p>
      <w:pPr>
        <w:spacing w:after="0" w:line="177"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b w:val="1"/>
          <w:bCs w:val="1"/>
          <w:i w:val="1"/>
          <w:iCs w:val="1"/>
          <w:color w:val="auto"/>
        </w:rPr>
        <w:t>If, in the future, we are unable to establish sales and marketing capabilities or enter into agreements with third parties to sell and market our product candidates, we may not be successful in commercializing our product candidates if and when they are approved.</w:t>
      </w:r>
    </w:p>
    <w:p>
      <w:pPr>
        <w:spacing w:after="0" w:line="139"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do not have a sales or marketing infrastructure and have no experience in the sale or marketing of pharmaceutical drugs. We are not currently a party to a strategic collaboration that provides us with access to a collaborator's resources in selling or marketing drugs. To achieve commercial success for any approved drug for which sales and marketing is not the responsibility of any strategic collaborator that we may have in the future, we must either develop a sales and marketing organization or outsource these functions to other third parties. In the future, we may choose to build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ind w:right="380"/>
        <w:spacing w:after="0" w:line="268" w:lineRule="auto"/>
        <w:rPr>
          <w:sz w:val="20"/>
          <w:szCs w:val="20"/>
          <w:color w:val="auto"/>
        </w:rPr>
      </w:pPr>
      <w:r>
        <w:rPr>
          <w:rFonts w:ascii="Arial" w:cs="Arial" w:eastAsia="Arial" w:hAnsi="Arial"/>
          <w:sz w:val="18"/>
          <w:szCs w:val="18"/>
          <w:color w:val="auto"/>
        </w:rPr>
        <w:t>a sales and marketing infrastructure to market or co-promote some of our product candidates if and when they are approved, or enter into collaborations with respect to the sale and marketing of our product candidates.</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commercial launch of a product candidate.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that may inhibit our efforts to commercialize our product candidates on our own include:</w:t>
      </w:r>
    </w:p>
    <w:p>
      <w:pPr>
        <w:spacing w:after="0" w:line="23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limitations or restrictions on the ability of sales personnel to appropriately market the product to physicians or other healthcare professionals;</w:t>
      </w:r>
    </w:p>
    <w:p>
      <w:pPr>
        <w:spacing w:after="0" w:line="261" w:lineRule="exact"/>
        <w:rPr>
          <w:rFonts w:ascii="Arial" w:cs="Arial" w:eastAsia="Arial" w:hAnsi="Arial"/>
          <w:sz w:val="16"/>
          <w:szCs w:val="16"/>
          <w:color w:val="auto"/>
        </w:rPr>
      </w:pPr>
    </w:p>
    <w:p>
      <w:pPr>
        <w:ind w:left="1080" w:right="40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product lines;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obtain sufficient coverage and reimbursement from third-party payors and governmental agencies.</w:t>
      </w:r>
    </w:p>
    <w:p>
      <w:pPr>
        <w:spacing w:after="0" w:line="225"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If we enter into arrangements with third parties to perform sales and marketing services, our revenues from the sale of drugs or the profitability of these revenues to us are likely to be lower than if we were to market and sell any drugs that we develop ourselves. In addition, we may not be successful in entering into arrangements with third parties to sell and market our product candidates or may be unable to do so on terms that are favorable to us. We likely will have little control over such third parties, and any of them may fail to devote the necessary resources and attention to sell and market our product candidates effectively. If we do not establish sales and marketing capabilities successfully, either on our own or in collaboration with third parties, we will not be successful in commercializing our product candidates.</w:t>
      </w:r>
    </w:p>
    <w:p>
      <w:pPr>
        <w:spacing w:after="0" w:line="19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If the FDA or comparable foreign regulatory authorities approve generic versions of any of our product candidates that receive marketing approval, or such authorities do not grant our product candidates appropriate periods of data or market exclusivity before approving generic versions of our product candidates, the sales of our product candidates could be adversely affected.</w:t>
      </w:r>
    </w:p>
    <w:p>
      <w:pPr>
        <w:spacing w:after="0" w:line="194" w:lineRule="exact"/>
        <w:rPr>
          <w:sz w:val="20"/>
          <w:szCs w:val="20"/>
          <w:color w:val="auto"/>
        </w:rPr>
      </w:pPr>
    </w:p>
    <w:p>
      <w:pPr>
        <w:jc w:val="both"/>
        <w:ind w:firstLine="351"/>
        <w:spacing w:after="0" w:line="284" w:lineRule="auto"/>
        <w:rPr>
          <w:sz w:val="20"/>
          <w:szCs w:val="20"/>
          <w:color w:val="auto"/>
        </w:rPr>
      </w:pPr>
      <w:r>
        <w:rPr>
          <w:rFonts w:ascii="Arial" w:cs="Arial" w:eastAsia="Arial" w:hAnsi="Arial"/>
          <w:sz w:val="16"/>
          <w:szCs w:val="16"/>
          <w:color w:val="auto"/>
        </w:rPr>
        <w:t>Once an NDA is approved, the drug covered thereby becomes a "reference-listed drug" in the FDA's publication, "Approved Drug Products with Therapeutic Equivalence Evaluations." Manufacturers may seek marketing approval of generic versions of reference-listed drugs through submission of abbreviated new drug applications, or ANDAs, in the United States. In support of an ANDA, a generic manufacturer need not conduct clinical trials demonstrating safety and efficacy.</w:t>
      </w:r>
    </w:p>
    <w:p>
      <w:pPr>
        <w:spacing w:after="0" w:line="1"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Rather, the applicant generally must show that its drug is pharmaceutically equivalent to the reference listed drug, in that it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drugs may be significantly less costly to bring to market than the reference-listed drug and companies that produce generic drugs are generally able to offer them at lower prices.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ind w:right="360"/>
        <w:spacing w:after="0" w:line="268" w:lineRule="auto"/>
        <w:rPr>
          <w:sz w:val="20"/>
          <w:szCs w:val="20"/>
          <w:color w:val="auto"/>
        </w:rPr>
      </w:pPr>
      <w:r>
        <w:rPr>
          <w:rFonts w:ascii="Arial" w:cs="Arial" w:eastAsia="Arial" w:hAnsi="Arial"/>
          <w:sz w:val="18"/>
          <w:szCs w:val="18"/>
          <w:color w:val="auto"/>
        </w:rPr>
        <w:t>Thus, following the introduction of a generic drug, a significant percentage of the sales of any branded product or reference-listed drug is typically lost to the generic drug.</w:t>
      </w:r>
    </w:p>
    <w:p>
      <w:pPr>
        <w:spacing w:after="0" w:line="186"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The FDA may not approve an ANDA for a generic drug until any applicable period of non-patent exclusivity for the reference-listed drug has expired. The Federal Food, Drug, and Cosmetic Act, or FDCA, provides a period of five years of non-patent exclusivity for a new drug containing a new chemical entity, or NCE. During the exclusivity period, the FDA may not accept for review an ANDA or a 505(b)(2) NDA submitted by another company for another version of such product candidate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approved NDA if new clinical investigations, other than bioavailability studies, that were conducted or sponsored by the applicant are deemed by the FDA to be essential to the approval of the application, for example, for new indications, dosages or strengths of an existing product candidate. This three-year exclusivity covers only the conditions associated with the new clinical investigations and does not prohibit the FDA from approving ANDAs for product candidates containing the original active agent.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 Manufacturers may seek to launch these generic drugs following the expiration of the marketing exclusivity period, even if we still have patent protection for our drug.</w:t>
      </w:r>
    </w:p>
    <w:p>
      <w:pPr>
        <w:spacing w:after="0" w:line="178"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Competition that our product candidates may face from generic versions of our product candidates could materially and adversely impact our future revenue, profitability and cash flows and substantially limit our ability to obtain a return on the investments we have made in those product candidates. Our future revenues, profitability and cash flows could also be materially and adversely affected and our ability to obtain a return on the investments we have made in those product candidates may be substantially limited if our product candidates, if and when approved, are not afforded the appropriate periods of non-patent exclusivity.</w:t>
      </w:r>
    </w:p>
    <w:p>
      <w:pPr>
        <w:spacing w:after="0" w:line="19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Even if we obtain regulatory approval of any product candidate, the approved product may be subject to post-approval studies and will remain subject to ongoing regulatory requirements. If we fail to comply, or if concerns are identified in subsequent studies, our approval could be withdrawn, and our product sales could be suspended.</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If we are successful at obtaining regulatory approval for APR-246 or any of our other product candidates, regulatory agencies in the United States and other countries where a product will be sold may require extensive additional clinical trials or post-approval clinical trials that are expensive and time-consuming to conduct. These trials may reveal side effects or other harmful effects in patients that use our products after they are on the market, which may result in the limitation or withdrawal of our drugs from the market. Alternatively, we may not be able to conduct such additional trials, which might force us to abandon our efforts to develop or commercialize certain product candidates. Even if post-approval studies are not requested or required, after our products are approved and on the market, there might be safety issues that emerge over time that require a change in product labeling, additional postmarket studies or clinical trials, imposition of distribution and use restrictions under a Risk Evaluation and Mitigation Strategy, or REMS, or withdrawal of the product from the market, which would cause our revenue to decline.</w:t>
      </w:r>
    </w:p>
    <w:p>
      <w:pPr>
        <w:spacing w:after="0" w:line="172" w:lineRule="exact"/>
        <w:rPr>
          <w:sz w:val="20"/>
          <w:szCs w:val="20"/>
          <w:color w:val="auto"/>
        </w:rPr>
      </w:pPr>
    </w:p>
    <w:p>
      <w:pPr>
        <w:jc w:val="both"/>
        <w:ind w:right="60" w:firstLine="341"/>
        <w:spacing w:after="0" w:line="259" w:lineRule="auto"/>
        <w:rPr>
          <w:sz w:val="20"/>
          <w:szCs w:val="20"/>
          <w:color w:val="auto"/>
        </w:rPr>
      </w:pPr>
      <w:r>
        <w:rPr>
          <w:rFonts w:ascii="Arial" w:cs="Arial" w:eastAsia="Arial" w:hAnsi="Arial"/>
          <w:sz w:val="18"/>
          <w:szCs w:val="18"/>
          <w:color w:val="auto"/>
        </w:rPr>
        <w:t>Additionally, any products that we may successfully develop will be subject to ongoing regulatory requirements after they are approved. These requirements will govern the manufacturing, packaging, marketing, distribution, and use of our products. If we fail to comply with such regulatory requirements, approval for our products may be withdrawn, and product sales may be suspended. We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ind w:right="240"/>
        <w:spacing w:after="0" w:line="268" w:lineRule="auto"/>
        <w:rPr>
          <w:sz w:val="20"/>
          <w:szCs w:val="20"/>
          <w:color w:val="auto"/>
        </w:rPr>
      </w:pPr>
      <w:r>
        <w:rPr>
          <w:rFonts w:ascii="Arial" w:cs="Arial" w:eastAsia="Arial" w:hAnsi="Arial"/>
          <w:sz w:val="18"/>
          <w:szCs w:val="18"/>
          <w:color w:val="auto"/>
        </w:rPr>
        <w:t>may not be able to regain compliance, or we may only be able to regain compliance after a lengthy delay, significant expense, lost revenues and damage to our reputation.</w:t>
      </w:r>
    </w:p>
    <w:p>
      <w:pPr>
        <w:spacing w:after="0" w:line="186"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b w:val="1"/>
          <w:bCs w:val="1"/>
          <w:i w:val="1"/>
          <w:iCs w:val="1"/>
          <w:color w:val="auto"/>
        </w:rPr>
        <w:t>Even if we are able to commercialize any product candidate, such product candidate may become subject to unfavorable pricing regulations, third-party coverage and reimbursement policies or healthcare reform initiatives, which could harm our business.</w:t>
      </w:r>
    </w:p>
    <w:p>
      <w:pPr>
        <w:spacing w:after="0" w:line="139"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regulations that govern marketing approval, pricing, coverage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w:t>
      </w:r>
    </w:p>
    <w:p>
      <w:pPr>
        <w:spacing w:after="0" w:line="174" w:lineRule="exact"/>
        <w:rPr>
          <w:sz w:val="20"/>
          <w:szCs w:val="20"/>
          <w:color w:val="auto"/>
        </w:rPr>
      </w:pPr>
    </w:p>
    <w:p>
      <w:pPr>
        <w:ind w:right="100" w:firstLine="351"/>
        <w:spacing w:after="0" w:line="286" w:lineRule="auto"/>
        <w:rPr>
          <w:sz w:val="20"/>
          <w:szCs w:val="20"/>
          <w:color w:val="auto"/>
        </w:rPr>
      </w:pPr>
      <w:r>
        <w:rPr>
          <w:rFonts w:ascii="Arial" w:cs="Arial" w:eastAsia="Arial" w:hAnsi="Arial"/>
          <w:sz w:val="16"/>
          <w:szCs w:val="16"/>
          <w:color w:val="auto"/>
        </w:rPr>
        <w:t>Our ability to commercialize any products successfully also will depend in part on the extent to which reimbursement and coverage for these products and related treatments will be available from government authorities, private health insurers and other organizations, and if reimbursement and coverage is available, the level of reimbursement and coverage. Government authorities and third-party payors, such as private health insurers and health maintenance organizations, decide which medications they will pay for and establish reimbursement levels. A primary trend in the healthcare industry in the United States and elsewhere is cost containment. Government authorities and third-party payors have attempted to control costs by limiting coverage and the amount of reimbursement for particular medications.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medical products. We cannot be sure that coverage and reimbursement will be available for any drug that we commercialize and, if coverage and reimbursement are available, we cannot be sure as to the level of reimbursement. Reimbursement may impact the demand for, or the price of, any product candidate for which we obtain marketing approval. If reimbursement is not available or is available only to limited levels, we may not be able to successfully commercialize any product candidate for which we obtain marketing approval.</w:t>
      </w:r>
    </w:p>
    <w:p>
      <w:pPr>
        <w:spacing w:after="0" w:line="18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comparable foreign regulatory authorities. Moreover, eligibility for reimbursement does not imply that any drug will be reimbursed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may be incorporated into existing payments for other items or services and may reflect budgetary constraints or imperfections in Medicare data.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rates. Our inability to promptly obtain coverage and adequate reimbursement rates from both government-funded and private payors for new products that we develop and for which we obtain marketing approval could have a material adverse effect on our operating results, our ability to raise capital needed to commercialize products and our overall financial condition.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ind w:right="440"/>
        <w:spacing w:after="0" w:line="268"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drugs that we may develop. Our insurance policies may be inadequate and may potentially expose us to unrecoverable risk.</w:t>
      </w:r>
    </w:p>
    <w:p>
      <w:pPr>
        <w:spacing w:after="0" w:line="186"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clinical trials and will face an even greater risk if we commercially sell any drugs that we may develop. If we cannot successfully defend ourselves against claims that our product candidates or drugs caused injuries, we will incur substantial liabilities. Regardless of merit or eventual outcome, liability claims may result in:</w:t>
      </w:r>
    </w:p>
    <w:p>
      <w:pPr>
        <w:spacing w:after="0" w:line="208"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decreased demand for any product candidates or drugs that we may develop;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commercialize any drugs that we may develop.</w:t>
      </w:r>
    </w:p>
    <w:p>
      <w:pPr>
        <w:spacing w:after="0" w:line="225" w:lineRule="exact"/>
        <w:rPr>
          <w:sz w:val="20"/>
          <w:szCs w:val="20"/>
          <w:color w:val="auto"/>
        </w:rPr>
      </w:pPr>
    </w:p>
    <w:p>
      <w:pPr>
        <w:jc w:val="both"/>
        <w:ind w:right="100" w:firstLine="348"/>
        <w:spacing w:after="0" w:line="335" w:lineRule="auto"/>
        <w:rPr>
          <w:sz w:val="20"/>
          <w:szCs w:val="20"/>
          <w:color w:val="auto"/>
        </w:rPr>
      </w:pPr>
      <w:r>
        <w:rPr>
          <w:rFonts w:ascii="Arial" w:cs="Arial" w:eastAsia="Arial" w:hAnsi="Arial"/>
          <w:sz w:val="15"/>
          <w:szCs w:val="15"/>
          <w:color w:val="auto"/>
        </w:rPr>
        <w:t>We currently hold clinical trial liability insurance coverage for up to $3.0 million, but that coverage may not be adequate to cover any and all liabilities that we may incur. We would need to increase our insurance coverage when we begin the commercialization of our product candidates, if ever. Insurance coverage is increasingly expensive. We may not be able to maintain insurance coverage at a reasonable cost or in an amount adequate to satisfy any liability that may arise.</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Governments outside of the United States tend to impose strict price controls, which may adversely affect our revenues from the sales of our products, if any.</w:t>
      </w:r>
    </w:p>
    <w:p>
      <w:pPr>
        <w:spacing w:after="0" w:line="26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some countries, particularly member states of the European Union, or, the EU, the pricing of prescription pharmaceuticals is subject to governmental control. In these countries, pricing negotiations with governmental authorities can take considerable time after the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In some countries, we, or our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could be materially harmed.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31"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b w:val="1"/>
          <w:bCs w:val="1"/>
          <w:i w:val="1"/>
          <w:iCs w:val="1"/>
          <w:color w:val="auto"/>
        </w:rPr>
        <w:t>We rely on third parties to conduct our clinical trials and some aspects of our research and preclinical studies, and those third parties may not perform satisfactorily, including failing to meet deadlines for the completion of such trials, research and studies.</w:t>
      </w:r>
    </w:p>
    <w:p>
      <w:pPr>
        <w:spacing w:after="0" w:line="139"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We currently rely on third parties, such as CROs, clinical data management organizations, medical institutions and clinical investigators, to conduct our clinical trials of APR-246 and expect to continue to rely upon third parties to conduct additional clinical trials of APR-246 and our other product candidates. We currently rely and expect to continue to rely on third parties to conduct some aspects of our research and preclinical studies. Any of these third parties may terminate their engagements with us at any time. If we need to enter into alternative arrangements, it would delay our drug development activities.</w:t>
      </w:r>
    </w:p>
    <w:p>
      <w:pPr>
        <w:spacing w:after="0" w:line="167"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Our reliance on these third parties for research and development activities will reduce our control over these activities but will not relieve us of our regulatory responsibilities. For example, we will remain responsible for ensuring that each of our clinical trials is conducted in accordance with the general investigational plan, study protocols for the trial, statistical analysis plan and other study-specific documents (for example, monitoring and blinding plans). Moreover, the FDA requires us to comply with standards, commonly referred to as Good Clinical Practice, or GCP, International Council for Harmonization of Technical Requirements for Pharmaceuticals for Human Use, or ICH, guidelines, and regulations regarding the informed consent process, safety reporting requirements, data collection guidelines, and other regulations for conducting, recording and reporting the results of clinical trials to assure that data and reported results are credible and accurate and that the rights, integrity and confidentiality of trial participants are protected. The European Medicines Agency, or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and other applicable regulations. In addition, our clinical trials must be conducted with product produced under current Good Manufacturing Practices, or cGMP, regulations. Our failure to comply with these regulations may require us to conduct new clinical trials, which would delay the marketing approval process. We also are required to register certain ongoing clinical trials and post the results of certain completed clinical trials on a government-sponsored database, ClinicalTrials.gov, within certain timeframes. Failure to do so can result in fines, adverse publicity and civil and criminal sanctions.</w:t>
      </w:r>
    </w:p>
    <w:p>
      <w:pPr>
        <w:spacing w:after="0" w:line="396" w:lineRule="exact"/>
        <w:rPr>
          <w:sz w:val="20"/>
          <w:szCs w:val="20"/>
          <w:color w:val="auto"/>
        </w:rPr>
      </w:pPr>
    </w:p>
    <w:p>
      <w:pPr>
        <w:ind w:right="380" w:firstLine="351"/>
        <w:spacing w:after="0" w:line="256"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97"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such third parties could delay clinical development or marketing approval of our product candidates or commercialization of our product candidates, producing additional losses and depriving us of potential revenue from sales of drugs.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ind w:right="80"/>
        <w:spacing w:after="0" w:line="306" w:lineRule="auto"/>
        <w:rPr>
          <w:sz w:val="20"/>
          <w:szCs w:val="20"/>
          <w:color w:val="auto"/>
        </w:rPr>
      </w:pPr>
      <w:r>
        <w:rPr>
          <w:rFonts w:ascii="Arial" w:cs="Arial" w:eastAsia="Arial" w:hAnsi="Arial"/>
          <w:sz w:val="16"/>
          <w:szCs w:val="16"/>
          <w:b w:val="1"/>
          <w:bCs w:val="1"/>
          <w:i w:val="1"/>
          <w:iCs w:val="1"/>
          <w:color w:val="auto"/>
        </w:rPr>
        <w:t>We are currently dependent on a single third party manufacturer for the manufacture of the active pharmaceutical ingredient for APR-246. This reliance on a single third party increases the risk that we will not have sufficient quantities of our product candidates or drugs or such quantities at an acceptable cost, which could delay, prevent or impair our development or commercialization efforts.</w:t>
      </w:r>
    </w:p>
    <w:p>
      <w:pPr>
        <w:spacing w:after="0" w:line="161"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We do not have any manufacturing facilities or personnel, and we currently have no plans to build our own clinical or commercial scale manufacturing capabilities. We currently contract with third parties for the manufacture of our product candidates for certain preclinical trials and clinical trial materials, including raw materials and consumables necessary for their manufacture, consistent with applicable cGMP requirements. We intend to continue to contract for these materials in the future, including commercial manufacture if our product candidates receive marketing approval.</w:t>
      </w:r>
    </w:p>
    <w:p>
      <w:pPr>
        <w:spacing w:after="0" w:line="167"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The active pharmaceutical ingredient, or API, for APR-246 is currently manufactured by a single contract manufacturer. Although we may do so in the future, we do not currently have arrangements in place for redundant supply of the API for APR-246. We contract with a different manufacturer for formulation of drug product, sterile fill of vials, labeling and packaging, and the storage and distribution of APR-246 to clinical sites.</w:t>
      </w:r>
    </w:p>
    <w:p>
      <w:pPr>
        <w:spacing w:after="0" w:line="16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expect to rely on third-party manufacturers or third-party collaborators for the manufacture of our product candidates for commercial supply of any of our product candidates for which we or any of our future collaborators obtain marketing approval. 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211" w:lineRule="exact"/>
        <w:rPr>
          <w:sz w:val="20"/>
          <w:szCs w:val="20"/>
          <w:color w:val="auto"/>
        </w:rPr>
      </w:pPr>
    </w:p>
    <w:p>
      <w:pPr>
        <w:ind w:left="1080" w:hanging="532"/>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failure of the third party to manufacture our product candidate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termination or nonrenewal of agreements by our third-party contractors at a time that is costly or inconvenient for 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breach by the third-party contractors of our agreements with them;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failure of the third party to manufacture our product candidates according to our specifications;</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mislabeling of clinical supplies, potentially resulting in issues including the wrong dose amounts being supplied or active drug or placebo not being properly identified;</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possibility of clinical supplies not being delivered to clinical sites on time, leading to clinical trial interruptions, or of drug supplies not being distributed to commercial vendors in a timely manner, resulting in lost sales;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225" w:lineRule="exact"/>
        <w:rPr>
          <w:sz w:val="20"/>
          <w:szCs w:val="20"/>
          <w:color w:val="auto"/>
        </w:rPr>
      </w:pPr>
    </w:p>
    <w:p>
      <w:pPr>
        <w:ind w:right="100" w:firstLine="348"/>
        <w:spacing w:after="0" w:line="318" w:lineRule="auto"/>
        <w:rPr>
          <w:sz w:val="20"/>
          <w:szCs w:val="20"/>
          <w:color w:val="auto"/>
        </w:rPr>
      </w:pPr>
      <w:r>
        <w:rPr>
          <w:rFonts w:ascii="Arial" w:cs="Arial" w:eastAsia="Arial" w:hAnsi="Arial"/>
          <w:sz w:val="15"/>
          <w:szCs w:val="15"/>
          <w:color w:val="auto"/>
        </w:rPr>
        <w:t>The facilities used by our contract manufacturers to manufacture our product candidates must be approved by the FDA or the EMA pursuant to inspections that will be conducted after we submit our NDA to the FDA or our MAA to the EMA. 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ind w:right="60"/>
        <w:spacing w:after="0" w:line="255" w:lineRule="auto"/>
        <w:rPr>
          <w:sz w:val="20"/>
          <w:szCs w:val="20"/>
          <w:color w:val="auto"/>
        </w:rPr>
      </w:pPr>
      <w:r>
        <w:rPr>
          <w:rFonts w:ascii="Arial" w:cs="Arial" w:eastAsia="Arial" w:hAnsi="Arial"/>
          <w:sz w:val="18"/>
          <w:szCs w:val="18"/>
          <w:color w:val="auto"/>
        </w:rPr>
        <w:t>FDA or other regulatory bodies, they will not be able to secure and/or maintain marketing approval for their manufacturing facilities. In addition, we do not have complete control over the ability of our contract manufacturers to maintain adequate quality control, quality assurance and qualified personnel. If the FDA, the EMA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w:t>
      </w:r>
    </w:p>
    <w:p>
      <w:pPr>
        <w:spacing w:after="0" w:line="197"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color w:val="auto"/>
        </w:rPr>
        <w:t>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and harm our business and results of operations.</w:t>
      </w:r>
    </w:p>
    <w:p>
      <w:pPr>
        <w:spacing w:after="0" w:line="197"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Any drugs that we may develop may compete with other product candidates and drugs for access to manufacturing facilities. There are a limited number of manufacturers that operate under cGMP regulations and that might be capable of manufacturing for us.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w:t>
      </w:r>
    </w:p>
    <w:p>
      <w:pPr>
        <w:spacing w:after="0" w:line="225"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do not currently have arrangements in place for redundant supply of the API of APR-246. If our current contract manufacturer cannot perform as agreed, we may be required to replace that manufacturer. Although we believe that there are several potential alternative manufacturers who could manufacture our product candidates, we may incur added costs and delays in identifying and qualifying any such replacement.</w:t>
      </w:r>
    </w:p>
    <w:p>
      <w:pPr>
        <w:spacing w:after="0" w:line="161"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Our current and anticipated future dependence upon others for the manufacture of our product candidates or drugs may adversely affect our future profit margins and our ability to commercialize any drugs that receive marketing approval on a timely and competitive basis.</w:t>
      </w:r>
    </w:p>
    <w:p>
      <w:pPr>
        <w:spacing w:after="0" w:line="139"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b w:val="1"/>
          <w:bCs w:val="1"/>
          <w:i w:val="1"/>
          <w:iCs w:val="1"/>
          <w:color w:val="auto"/>
        </w:rPr>
        <w:t>Although we currently plan to retain all commercial rights to APR-246 and our product candidates, we may enter into strategic collaborations for the development, marketing and commercialization of APR-246 and our other product candidates. If those collaborations are not successful, the development, marketing and/or commercialization of our product candidates that are the subject of such collaborations would be harmed.</w:t>
      </w:r>
    </w:p>
    <w:p>
      <w:pPr>
        <w:spacing w:after="0" w:line="161" w:lineRule="exact"/>
        <w:rPr>
          <w:sz w:val="20"/>
          <w:szCs w:val="20"/>
          <w:color w:val="auto"/>
        </w:rPr>
      </w:pPr>
    </w:p>
    <w:p>
      <w:pPr>
        <w:ind w:right="60" w:firstLine="341"/>
        <w:spacing w:after="0" w:line="288" w:lineRule="auto"/>
        <w:rPr>
          <w:sz w:val="20"/>
          <w:szCs w:val="20"/>
          <w:color w:val="auto"/>
        </w:rPr>
      </w:pPr>
      <w:r>
        <w:rPr>
          <w:rFonts w:ascii="Arial" w:cs="Arial" w:eastAsia="Arial" w:hAnsi="Arial"/>
          <w:sz w:val="16"/>
          <w:szCs w:val="16"/>
          <w:color w:val="auto"/>
        </w:rPr>
        <w:t>As we further develop APR-246, we may build a commercial infrastructure with the capability to directly market it to a variety of markets and geographies. Although we currently plan to retain all commercial rights to APR-246 and our product candidates, we may enter into strategic collaborations for the development, marketing and commercialization of APR-246 and our other product candidates. Our likely collaborators for any collaboration arrangements include large and mid-size pharmaceutical companies, regional and national pharmaceutical companies and biotechnology companies. If we do enter into any such arrangements with any third parties, we will likely have limited control over the amount and timing of resources that our collaborators dedicate to the development, marketing and/or commercialization of our product candidates. Our ability to generate revenues from these arrangements will depend on our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Collaborations involving our product candidates would pose the following risks to us:</w:t>
      </w:r>
    </w:p>
    <w:p>
      <w:pPr>
        <w:spacing w:after="0" w:line="239" w:lineRule="exact"/>
        <w:rPr>
          <w:sz w:val="20"/>
          <w:szCs w:val="20"/>
          <w:color w:val="auto"/>
        </w:rPr>
      </w:pPr>
    </w:p>
    <w:p>
      <w:pPr>
        <w:ind w:left="5620" w:right="1560" w:hanging="5072"/>
        <w:spacing w:after="0" w:line="519" w:lineRule="auto"/>
        <w:tabs>
          <w:tab w:leader="none" w:pos="1082"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7" w:name="page38"/>
    <w:bookmarkEnd w:id="37"/>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52" w:lineRule="exact"/>
        <w:rPr>
          <w:rFonts w:ascii="Arial" w:cs="Arial" w:eastAsia="Arial" w:hAnsi="Arial"/>
          <w:sz w:val="18"/>
          <w:szCs w:val="18"/>
          <w:color w:val="auto"/>
        </w:rPr>
      </w:pPr>
    </w:p>
    <w:p>
      <w:pPr>
        <w:ind w:left="1080" w:right="180" w:hanging="532"/>
        <w:spacing w:after="0" w:line="306"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collaborators may not pursue development, marketing and/or commercialization of our product candidates or may elect not to continue or renew development, marketing or commercialization programs based on clinical trial results, changes in the collaborator's strategic focus or available funding or external factors such as an acquisition that diverts resources or creates competing priorities;</w:t>
      </w:r>
    </w:p>
    <w:p>
      <w:pPr>
        <w:spacing w:after="0" w:line="174"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drugs that compete directly or indirectly with our product candidates or product candidates;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drugs may not commit sufficient resources to the marketing and distribution of such drug or drugs;</w:t>
      </w:r>
    </w:p>
    <w:p>
      <w:pPr>
        <w:spacing w:after="0" w:line="199" w:lineRule="exact"/>
        <w:rPr>
          <w:rFonts w:ascii="Arial" w:cs="Arial" w:eastAsia="Arial" w:hAnsi="Arial"/>
          <w:sz w:val="18"/>
          <w:szCs w:val="18"/>
          <w:color w:val="auto"/>
        </w:rPr>
      </w:pPr>
    </w:p>
    <w:p>
      <w:pPr>
        <w:ind w:left="1080" w:right="120" w:hanging="532"/>
        <w:spacing w:after="0" w:line="256"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210"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collaborators may not properly obtain, maintain, defend and enforce our intellectual property rights or may use our proprietary information in such a way as to invite litigation that could jeopardize or invalidate our proprietary information or expose us to potential litigation;</w:t>
      </w:r>
    </w:p>
    <w:p>
      <w:pPr>
        <w:spacing w:after="0" w:line="166"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rights of third parties, which may expose us to litigation and potential liability;</w:t>
      </w:r>
    </w:p>
    <w:p>
      <w:pPr>
        <w:spacing w:after="0" w:line="199"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any collaboration arrangement that we enter into, such as if we undergo a change of control;</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marketing and/or commercialization of the applicable product candidates;</w:t>
      </w:r>
    </w:p>
    <w:p>
      <w:pPr>
        <w:spacing w:after="0" w:line="21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learn about our discoveries, data, proprietary information, trade secrets, or compounds and use this knowledge to compete with us in the future;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and type of our collaborations could adversely affect our attractiveness to future collaborators or acquirers.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31"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b w:val="1"/>
          <w:bCs w:val="1"/>
          <w:i w:val="1"/>
          <w:iCs w:val="1"/>
          <w:color w:val="auto"/>
        </w:rPr>
        <w:t>If we are unable to obtain and maintain intellectual property protection for APR-246 or any other product candidates we develop or for our technology, our competitors could develop and commercialize products or technology similar or identical to ours, and our ability to successfully commercialize APR-246 or any product candidates we may develop, and our technology may be adversely affected.</w:t>
      </w:r>
    </w:p>
    <w:p>
      <w:pPr>
        <w:spacing w:after="0" w:line="16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Our commercial success will depend in large part on obtaining and maintaining patent, trademark and trade secret protection of our proprietary technologies and our product candidates, which include APR-246 and others, their respective components, formulations, methods used to manufacture them and methods of treatment, as well as successfully defending these patents against third-party challenges.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38" w:name="page39"/>
    <w:bookmarkEnd w:id="38"/>
    <w:p>
      <w:pPr>
        <w:ind w:right="20"/>
        <w:spacing w:after="0" w:line="306" w:lineRule="auto"/>
        <w:rPr>
          <w:sz w:val="20"/>
          <w:szCs w:val="20"/>
          <w:color w:val="auto"/>
        </w:rPr>
      </w:pPr>
      <w:r>
        <w:rPr>
          <w:rFonts w:ascii="Arial" w:cs="Arial" w:eastAsia="Arial" w:hAnsi="Arial"/>
          <w:sz w:val="16"/>
          <w:szCs w:val="16"/>
          <w:color w:val="auto"/>
        </w:rPr>
        <w:t>We seek to protect our proprietary position by filing patent applications in the United States and abroad relating to our product candidates as well as other technologies that are important to our business. Our ability to stop unauthorized third parties from making, using, selling, offering to sell or importing our product candidates is dependent upon the extent to which we have rights under valid and enforceable patents or trade secrets that cover these activities.</w:t>
      </w:r>
    </w:p>
    <w:p>
      <w:pPr>
        <w:spacing w:after="0" w:line="16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chemical structure of APR-246 is in the public domain. Accordingly, we do not own or license any composition of matter patents claiming the compound of APR-246 and will not in the future own or license any composition of matter patents claiming the chemical structure of APR-246 as described in the public domain. Our patent portfolio for APR-246 currently consists of method-of-use and formulation patent claims, and dosing, manufacturing processes, and crystalline solid form provisional patent application claims. Our existing patents and any future patents we obtain may not be sufficiently broad to prevent others from using our technology or from developing competing products and technologies. Any failure to obtain or maintain patent protection with respect to APR-246 and our other product candidates could have a material adverse effect on our business, financial condition, results of operations and growth prospects. If it is later determined that our activities or product candidates infringe, misappropriate or otherwise violate the intellectual property of third parties we may be liable for damages, enhanced damages or subjected to an injunction, any of which could have a material adverse effect on our business.</w:t>
      </w:r>
    </w:p>
    <w:p>
      <w:pPr>
        <w:spacing w:after="0" w:line="172"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During the course of business we have decided not to pursue certain products or processes and have not pursued certain corresponding intellectual property. However, we may decide to pursue such products or processes again in the future. It is also possible that we will fail to identify patentable aspects of our research and development output before it is too late to obtain patent protection.</w:t>
      </w:r>
    </w:p>
    <w:p>
      <w:pPr>
        <w:spacing w:after="0" w:line="197"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patent position of pharmaceutical and biotechnology companies generally is highly uncertain and involves complex legal and factual questions for which many legal principles remain unresolved. In recent years patent rights have been the subject of significant litigation. As a result, the issuance, scope, validity, enforceability and commercial value of our patent rights are highly uncertain. Our pending and future patent applications may not result in patents being issued in the United States or in other jurisdictions which protect our technology or products or which effectively prevent others from commercializing competitive technologies and products.</w:t>
      </w:r>
    </w:p>
    <w:p>
      <w:pPr>
        <w:spacing w:after="0" w:line="197"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Our ability to obtain and maintain valid and enforceable patents depends on whether the differences between our inventions and the prior art, including our own previously filed patent applications and scientific publications, allow our inventions to be patentable over the prior art. We are aware of certain scientific publications by our inventors and other third parties that disclose subject matter, including the composition of APR-246, relating to certain of our patents, that may be used by third parties to challenge the validity and enforceability of our patents and patent applications. If such third parties are successful, we could lose valuable patent rights. In the United States, an inventor's own publication cannot be used as prior art to the inventor's patent application on the same subject matter when published less than one year before the effective filing date of the patent application. Such a publication may be considered prior art in certain jurisdictions that do not provide such a grace period.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 Patent and Trademark Office, or USPTO, might require that the term of a patent issuing from a pending patent application be disclaimed and limited to the term of another patent that is commonly owned or names a common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ind w:right="100"/>
        <w:spacing w:after="0" w:line="256" w:lineRule="auto"/>
        <w:rPr>
          <w:sz w:val="20"/>
          <w:szCs w:val="20"/>
          <w:color w:val="auto"/>
        </w:rPr>
      </w:pPr>
      <w:r>
        <w:rPr>
          <w:rFonts w:ascii="Arial" w:cs="Arial" w:eastAsia="Arial" w:hAnsi="Arial"/>
          <w:sz w:val="18"/>
          <w:szCs w:val="18"/>
          <w:color w:val="auto"/>
        </w:rPr>
        <w:t>inventor.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certain of these parties have and others may in the future breach the agreements and disclose such output before a patent application is filed, thereby jeopardizing our ability to seek patent protection.</w:t>
      </w:r>
    </w:p>
    <w:p>
      <w:pPr>
        <w:spacing w:after="0" w:line="19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Moreover, the coverage claimed in a patent application can be significantly reduced before the patent is issued, and its scope can be reinterpreted after issuance. Even if our patent applications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w:t>
      </w:r>
    </w:p>
    <w:p>
      <w:pPr>
        <w:spacing w:after="0" w:line="197"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issuance of a patent is not conclusive as to its inventorship, scope, validity or enforceability, and our patents may be challenged in the courts or patent offices in the United States and abroad. Such challenges may result in the patent claims of our patents being narrowed, invalidated or held unenforceable, which could limit our ability to stop or prevent us from stopping others from using or commercializing similar or identical technology and products, or limit the duration of the patent protection of our technology and products. In addition, some of our owned patents and patent applications may in the future be co-owned with third parties. If we do not have exclusive control of the grant of licenses under any such third-party co-owners' interest in such patents or patent applications or we are otherwise unable to secure such exclusive rights, such co-owners may be able to license their rights to other third parties, including our competitors, and our competitors could market competing products and technology. In addition, we may need the cooperation of any such co-owners of our co-owned patents in order to enforce such patents against third parties, and such cooperation may not be provided to us.</w:t>
      </w:r>
    </w:p>
    <w:p>
      <w:pPr>
        <w:spacing w:after="0" w:line="17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 or otherwise provide us with a competitive advantage. Upon the expiration of our current patents, we may lose the right to exclude others from practicing these inventions, including APR-246 based on patent exclusivity. The expiration of these patents could also have a similar material adverse effect on our business, results of operations, financial condition and prospects.</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Our proprietary position for APR-246 depends upon patents that consist of method-of-use and formulation patent claims, which may not prevent a competitor or other third party from using the same product candidate for another use or in another formulation.</w:t>
      </w:r>
    </w:p>
    <w:p>
      <w:pPr>
        <w:spacing w:after="0" w:line="186"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Composition-of-matter patent claims on the active pharmaceutical ingredient, or API, in pharmaceutical drug products are generally considered to be the favored form of intellectual property protection for drug products because such patents may provide protection without regard to any particular method of use or manufacture or formulation of the API used. The chemical structure of APR-246 is in the public domain. Accordingly, we do not own or license any composition of matter patents claiming the compound of APR-246 and will not in the future own or license any composition of matter patents claiming the chemical structure of APR-246 as described in the public domain.</w:t>
      </w:r>
    </w:p>
    <w:p>
      <w:pPr>
        <w:spacing w:after="0" w:line="197"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Method-of-use patent claims protect the use of a product for the specified method and dosing or formulation patent claims cover dosing regimens or formulations of the API. These types of patent claims do not prevent a competitor or other third party from marketing an identical API for an indication that is outside the scope of the method claims or from developing a different dosing regimen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ind w:right="20"/>
        <w:spacing w:after="0" w:line="290" w:lineRule="auto"/>
        <w:rPr>
          <w:sz w:val="20"/>
          <w:szCs w:val="20"/>
          <w:color w:val="auto"/>
        </w:rPr>
      </w:pPr>
      <w:r>
        <w:rPr>
          <w:rFonts w:ascii="Arial" w:cs="Arial" w:eastAsia="Arial" w:hAnsi="Arial"/>
          <w:sz w:val="16"/>
          <w:szCs w:val="16"/>
          <w:color w:val="auto"/>
        </w:rPr>
        <w:t>or formulation that is outside the scope of the dosing or formulation claims. Moreover, with respect to method-of-use patents,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method-of-use patents, the practice is common and such infringement is difficult to prevent or prosecute. In addition, there are numerous publications and other prior art that may be relevant to our patents and may be used to challenge the validity of such patents in litigation or other intellectual property-related proceedings. If such challenges are successful, our patents may be narrowed or found to be invalid and we may lose valuable intellectual property rights. Any of the foregoing could have a material adverse effect on our business, financial conditions and results of operations and prospects.</w:t>
      </w:r>
    </w:p>
    <w:p>
      <w:pPr>
        <w:spacing w:after="0" w:line="17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Issued patents covering our product candidates and other technologies could be narrowed or found invalid or unenforceable if challenged in court or before administrative bodies in the United States or abroad.</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If we seek to enforce a patent covering our product candidates or other technologies against a third party, that third party could assert that such patent is invalid or unenforceable. In patent litigation in the United States, challenges to validity or enforceability are commonplace. Grounds for a validity challenge could be an alleged failure to meet any of several statutory requirements, including lack of patentable subject matter, lack of novelty, obviousness, inadequate written description, indefiniteness, or lack of enablement. Grounds for an unenforceability assertion could be an allegation that relevant information was withheld from or a misleading statement was made to the USPTO during prosecution.</w:t>
      </w:r>
    </w:p>
    <w:p>
      <w:pPr>
        <w:spacing w:after="0" w:line="170"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 xml:space="preserve">In addition, third parties may raise claims challenging the validity or enforceability of our patents before administrative bodies in the United States or abroad, even outside the context of litigation. Such mechanisms include preissuance submission of prior art to the USPTO and re-examination, post-grant review, </w:t>
      </w:r>
      <w:r>
        <w:rPr>
          <w:rFonts w:ascii="Arial" w:cs="Arial" w:eastAsia="Arial" w:hAnsi="Arial"/>
          <w:sz w:val="16"/>
          <w:szCs w:val="16"/>
          <w:i w:val="1"/>
          <w:iCs w:val="1"/>
          <w:color w:val="auto"/>
        </w:rPr>
        <w:t xml:space="preserve">inter partes </w:t>
      </w:r>
      <w:r>
        <w:rPr>
          <w:rFonts w:ascii="Arial" w:cs="Arial" w:eastAsia="Arial" w:hAnsi="Arial"/>
          <w:sz w:val="16"/>
          <w:szCs w:val="16"/>
          <w:color w:val="auto"/>
        </w:rPr>
        <w:t>review, interference proceedings, derivation proceedings, and equivalent proceedings in foreign jurisdictions (</w:t>
      </w:r>
      <w:r>
        <w:rPr>
          <w:rFonts w:ascii="Arial" w:cs="Arial" w:eastAsia="Arial" w:hAnsi="Arial"/>
          <w:sz w:val="16"/>
          <w:szCs w:val="16"/>
          <w:i w:val="1"/>
          <w:iCs w:val="1"/>
          <w:color w:val="auto"/>
        </w:rPr>
        <w:t>e.g.</w:t>
      </w:r>
      <w:r>
        <w:rPr>
          <w:rFonts w:ascii="Arial" w:cs="Arial" w:eastAsia="Arial" w:hAnsi="Arial"/>
          <w:sz w:val="16"/>
          <w:szCs w:val="16"/>
          <w:color w:val="auto"/>
        </w:rPr>
        <w:t>, opposition proceedings).</w:t>
      </w:r>
      <w:r>
        <w:rPr>
          <w:rFonts w:ascii="Arial" w:cs="Arial" w:eastAsia="Arial" w:hAnsi="Arial"/>
          <w:sz w:val="16"/>
          <w:szCs w:val="16"/>
          <w:i w:val="1"/>
          <w:iCs w:val="1"/>
          <w:color w:val="auto"/>
        </w:rPr>
        <w:t xml:space="preserve"> </w:t>
      </w:r>
      <w:r>
        <w:rPr>
          <w:rFonts w:ascii="Arial" w:cs="Arial" w:eastAsia="Arial" w:hAnsi="Arial"/>
          <w:sz w:val="16"/>
          <w:szCs w:val="16"/>
          <w:color w:val="auto"/>
        </w:rPr>
        <w:t>Moreover, we may have to participate in interference proceedings declared by the USPTO to determine priority of invention or in post-grant challenge proceedings, such as oppositions in a foreign patent office, that challenge our priority of invention or other features of patentability with respect to our patents and patent applications. An adverse determination in any such submission, proceeding or litigation could reduce the scope of, or invalidate or render unenforceable, our patent rights, allow third parties to commercialize our product candidates or other technologies and compete directly with us, without payment to us.</w:t>
      </w:r>
    </w:p>
    <w:p>
      <w:pPr>
        <w:spacing w:after="0" w:line="172"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the United States, an inventor's own publication may not be effective prior art to the inventor's patent application on the same subject matter when published less than one year before the effective filing date of the patent application. Such a publication might be considered prior art in certain jurisdictions that do not provide such a grace period. For those non-US jurisdictions, reliance on non-patent exclusivity may provide sufficient competitive protection to exclude others from commercializing generic versions of our products.</w:t>
      </w:r>
    </w:p>
    <w:p>
      <w:pPr>
        <w:spacing w:after="0" w:line="197"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The loss of exclusivity or the narrowing of our patent claims could limit our ability to stop others from using or commercializing similar or identical technology and products. Any of the foregoing could have a material adverse effect on our business, results of operations, financial condition and prospects.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We may be subject to other claims challenging the inventorship of our patents and other intellectual property.</w:t>
      </w:r>
    </w:p>
    <w:p>
      <w:pPr>
        <w:spacing w:after="0" w:line="225"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We may also be subject to claims that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product candidates or other technologies. Litigation may be necessary to defend against these and other claims challenging inventorship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growth prospects.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obtain patent term extension or data exclusivity for any product candidates we may develop, our business may be materially harmed.</w:t>
      </w:r>
    </w:p>
    <w:p>
      <w:pPr>
        <w:spacing w:after="0" w:line="248"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 of 1984, commonly referred to as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However, we may not be granted an extension in the United States and/or foreign countries and territories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shorter than what we request, our competitors may obtain approval of competing products following our patent expiration, and our business, financial condition, results of operations and growth prospects could be materially harmed.</w:t>
      </w:r>
    </w:p>
    <w:p>
      <w:pPr>
        <w:spacing w:after="0" w:line="178"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We may not be successful in obtaining, through acquisitions, in-licenses or otherwise, rights that may be necessary to our product candidates or other technologies.</w:t>
      </w:r>
    </w:p>
    <w:p>
      <w:pPr>
        <w:spacing w:after="0" w:line="186"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growth of our business may depend in part on our future ability to acquire or in-license any relevant third-party proprietary rights that we may identify as necessary or important to our business operations. For example, our programs may involve additional product candidates that may require the use of additional proprietary rights held by third parties. Our product candidates may also require specific formulations to work effectively and efficiently. These formulations may be covered by intellectual property rights held by others. We may develop products containing our compounds and pre-existing pharmaceutical compounds. These pharmaceutical compounds may be covered by intellectual property rights held by others. We may be required by the FDA or comparable foreign regulatory authorities to provide a companion diagnostic test or tests with our product candidates. These diagnostic test or tests may be covered by intellectual property rights held by others. We may be unable to acquire or in-license such third-party intellectual property rights. We may fail to obtain any of</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line="255" w:lineRule="auto"/>
        <w:rPr>
          <w:sz w:val="20"/>
          <w:szCs w:val="20"/>
          <w:color w:val="auto"/>
        </w:rPr>
      </w:pPr>
      <w:r>
        <w:rPr>
          <w:rFonts w:ascii="Arial" w:cs="Arial" w:eastAsia="Arial" w:hAnsi="Arial"/>
          <w:sz w:val="18"/>
          <w:szCs w:val="18"/>
          <w:color w:val="auto"/>
        </w:rPr>
        <w:t>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misappropriate or otherwise violate intellectual property rights which may entail additional costs and development delays, even if we were able to develop such alternatives, which may not be feasible. Even if we are able to obtain a license to such intellectual property rights, any such license may be non-exclusive, which may allow our competitors access to the same technologies licensed to us.</w:t>
      </w:r>
    </w:p>
    <w:p>
      <w:pPr>
        <w:spacing w:after="0" w:line="197"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Additionally, we sometimes collaborate with academic institutions and clinical research organizations to accelerate our research or development, including our research or development of APR-246, under written agreements with these institutions and organizations. In certain cases, these institutions and organizations may own or jointly own with us inventions that are created under such collaborations and provide us with an option to negotiate a license to any of the institution's rights in such inventions. Regardless of such option, we may be unable to negotiate a license within the specified timeframe or under terms that are acceptable to us. If we are unable to do so, the institution or organization may offer the intellectual property rights to others, potentially blocking our ability to pursue our program and allowing third parties to compete with us.</w:t>
      </w:r>
    </w:p>
    <w:p>
      <w:pPr>
        <w:spacing w:after="0" w:line="174"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There can be no assurance that we will be able to successfully complete such negotiations and ultimately acquire the rights to the intellectual property surrounding the additional product candidates that we may seek to acquire. If we are unable to successfully obtain rights to third-party intellectual property that may be necessary, we may have to abandon development of such program and our business, results of operations, financial condition and prospects could suffer.</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U.S. patent law could diminish the value of patents in general, thereby impairing our ability to protect our product candidates and technology.</w:t>
      </w:r>
    </w:p>
    <w:p>
      <w:pPr>
        <w:spacing w:after="0" w:line="260"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Recent or future patent reform legislation could increase the uncertainties and costs surrounding the prosecution of our patent applications and the enforcement or defense of our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regardless of whether another inventor had made the invention earlier. In March 2013, under the Leahy-Smith America Invents Act, or America Invents Act, the United States moved from a "first-to-invent"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A third party that files a patent application in the USPTO after March 2013, but before us, could therefore be awarded a patent covering an invention of ours even if we had made the invention before it was made by such third party. Since patent applications in the United States and most other countries are confidential for a period of time after filing or until issuance, we cannot be certain that we were the first to either (i) file any patent application related to our product candidates or other technologies or (ii) invent any of the inventions claimed in our patents or patent applications.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ind w:firstLine="348"/>
        <w:spacing w:after="0" w:line="286" w:lineRule="auto"/>
        <w:rPr>
          <w:sz w:val="20"/>
          <w:szCs w:val="20"/>
          <w:color w:val="auto"/>
        </w:rPr>
      </w:pPr>
      <w:r>
        <w:rPr>
          <w:rFonts w:ascii="Arial" w:cs="Arial" w:eastAsia="Arial" w:hAnsi="Arial"/>
          <w:sz w:val="16"/>
          <w:szCs w:val="16"/>
          <w:color w:val="auto"/>
        </w:rPr>
        <w:t xml:space="preserve">The America Invents Act includes a number of other significant changes to U.S. patent law, including provisions that affect the way patent applications are prosecuted, redefine prior art and establish a new post-grant review system. These include allowing third party submission of prior art to the USPTO during patent prosecution and additional procedures to attack the validity of a patent by USPTO-administered post-grant proceedings, including post-grant review,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partes </w:t>
      </w:r>
      <w:r>
        <w:rPr>
          <w:rFonts w:ascii="Arial" w:cs="Arial" w:eastAsia="Arial" w:hAnsi="Arial"/>
          <w:sz w:val="16"/>
          <w:szCs w:val="16"/>
          <w:color w:val="auto"/>
        </w:rPr>
        <w:t>review, and derivation proceedings. Because of a lower evidentiary standard in USPTO proceedings compared to the evidentiary standard in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in a district court action. An adverse determination in any such proceeding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all of which could have a material adverse effect on our business and financial condition. Accordingly, the America Invents Act and its implementation could increase the uncertainties and costs surrounding the prosecution of our patent applications and the enforcement or defense of our issued patents.</w:t>
      </w:r>
    </w:p>
    <w:p>
      <w:pPr>
        <w:spacing w:after="0" w:line="178"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17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Competitors may infringe our patents, or we may be required to defend against claims of infringement. In addition, our patents also may become involved in inventorship, priority, validity or unenforceability disputes. To counter or defend against such claims can be expensive and time consuming. We may not prevail in any lawsuits that we initiate, and the damages or other remedies awarded, if any, may not be commercially meaningful. For example, in an infringement proceeding, a court may decide that a patent owned by us is invalid or unenforceable. There is also the risk that, even if the validity of these patents is upheld, the court will refuse to stop the third party on the ground that such third party's activities do not infringe our owned patents, including finding that the other party's use of our patented technology falls under the safe harbor to patent infringement under 35 U.S.C. § 271(e)(1). Even if resolved in our favor, these lawsuits are expensive and would consume time and other resources, including distracting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4" w:name="page45"/>
    <w:bookmarkEnd w:id="44"/>
    <w:p>
      <w:pPr>
        <w:ind w:right="800"/>
        <w:spacing w:after="0" w:line="268"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86"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may not be able to detect infringement against our patents which may be more difficult for formulation patents. Even if we detect infringement by a third party of our patents,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our patents against such third party.</w:t>
      </w:r>
    </w:p>
    <w:p>
      <w:pPr>
        <w:spacing w:after="0" w:line="16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If another party questions the patentability of any of our claims in our U.S. patents, the third party can request that the USPTO review the patent claims such as in an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 or post-grant review proceedings. These proceedings are expensive and may result in a loss of scope of some claims or a loss of the entire patent. In addition to potential USPTO review proceedings, we may become a party to patent opposition proceedings in the European Patent Office, or EPO, or similar proceedings in other foreign patent offices, where either our foreign patents are challenged. The costs of these opposition or similar proceedings could be substantial, and may result in a loss of scope of some claims or a loss of the entire patent. An unfavorable result at the USPTO, EPO or other patent office may result in the loss of our right to exclude others from practicing one or more of our inventions in the relevant country or jurisdiction, which could have a material adverse effect on our business.</w:t>
      </w:r>
    </w:p>
    <w:p>
      <w:pPr>
        <w:spacing w:after="0" w:line="172"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b w:val="1"/>
          <w:bCs w:val="1"/>
          <w:i w:val="1"/>
          <w:iCs w:val="1"/>
          <w:color w:val="auto"/>
        </w:rPr>
        <w:t>If we are sued for infringing, misappropriating or otherwise violating patents or other intellectual property rights of third parties, it will be costly and time consuming, and an unfavorable outcome in that litigation would have a material adverse effect on our business.</w:t>
      </w:r>
    </w:p>
    <w:p>
      <w:pPr>
        <w:spacing w:after="0" w:line="139"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Our commercial success depends upon our ability to develop, manufacture, market and sell our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We may be exposed to, or threatened with, future litigation by third parties having patent or other intellectual property rights alleging that our product candidates and/or proprietary technologies infringe, misappropriate or otherwise violate their intellectual property rights. We cannot guarantee that our product candidates and other technologies that we have developed, are developing or may develop in the future will not infringe existing or future patents owned by third parties. U.S. and foreign issued patents and pending patent applications, which are owned by third parties, exist in the fields relating to our product candidates. As the biotechnology and pharmaceutical industries expand and more patents are issued, the risk increases that others may assert our product candidates infringe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 It is also possible that patents owned by third parties of which we are aware, but which we do not believe are relevant to our product candidates or other technologies, could be found to be infringed by our product candidates or other technologies. 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covering our product candidates or technology. If any such patent applications issue as patents, and if such patents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ind w:right="300"/>
        <w:spacing w:after="0" w:line="268" w:lineRule="auto"/>
        <w:rPr>
          <w:sz w:val="20"/>
          <w:szCs w:val="20"/>
          <w:color w:val="auto"/>
        </w:rPr>
      </w:pPr>
      <w:r>
        <w:rPr>
          <w:rFonts w:ascii="Arial" w:cs="Arial" w:eastAsia="Arial" w:hAnsi="Arial"/>
          <w:sz w:val="18"/>
          <w:szCs w:val="18"/>
          <w:color w:val="auto"/>
        </w:rPr>
        <w:t>have priority over our patent applications or patents, we may be required to obtain rights to such patents owned by third parties which may not be available on commercially reasonable terms or at all, or may only be available on a non-exclusive basis.</w:t>
      </w:r>
    </w:p>
    <w:p>
      <w:pPr>
        <w:spacing w:after="0" w:line="186"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If a third party claims that we infringe its intellectual property rights, we may face a number of issues even if we believe such claims are without merit, including, but not limited to:</w:t>
      </w:r>
    </w:p>
    <w:p>
      <w:pPr>
        <w:spacing w:after="0" w:line="199" w:lineRule="exact"/>
        <w:rPr>
          <w:sz w:val="20"/>
          <w:szCs w:val="20"/>
          <w:color w:val="auto"/>
        </w:rPr>
      </w:pPr>
    </w:p>
    <w:p>
      <w:pPr>
        <w:ind w:left="1080" w:right="22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infringement and other intellectual property claims which, regardless of merit, may be expensive and time-consuming to litigate, may divert our management's attention from our core business and may impact our reputation;</w:t>
      </w:r>
    </w:p>
    <w:p>
      <w:pPr>
        <w:spacing w:after="0" w:line="212" w:lineRule="exact"/>
        <w:rPr>
          <w:rFonts w:ascii="Arial" w:cs="Arial" w:eastAsia="Arial" w:hAnsi="Arial"/>
          <w:sz w:val="18"/>
          <w:szCs w:val="18"/>
          <w:color w:val="auto"/>
        </w:rPr>
      </w:pPr>
    </w:p>
    <w:p>
      <w:pPr>
        <w:ind w:left="1080" w:right="180" w:hanging="532"/>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spacing w:after="0" w:line="207"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court prohibiting us from developing, manufacturing, marketing or selling our product candidates, including APR-246, or from using our proprietary technologies, unless the third party licenses its patent rights to us, which it is not required to do;</w:t>
      </w:r>
    </w:p>
    <w:p>
      <w:pPr>
        <w:spacing w:after="0" w:line="199"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a license is available from a third party, we may have to pay substantial royalties, upfront fees and other amounts, and/or grant cross-licenses to intellectual property rights for our product candidates or such license is only available on a non-exclusive basis; and</w:t>
      </w:r>
    </w:p>
    <w:p>
      <w:pPr>
        <w:spacing w:after="0" w:line="166" w:lineRule="exact"/>
        <w:rPr>
          <w:rFonts w:ascii="Arial" w:cs="Arial" w:eastAsia="Arial" w:hAnsi="Arial"/>
          <w:sz w:val="16"/>
          <w:szCs w:val="16"/>
          <w:color w:val="auto"/>
        </w:rPr>
      </w:pPr>
    </w:p>
    <w:p>
      <w:pPr>
        <w:ind w:left="1080" w:right="78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redesigning our product candidates or processes so they do not infringe, which may not be possible or may require substantial monetary expenditures and time.</w:t>
      </w:r>
    </w:p>
    <w:p>
      <w:pPr>
        <w:spacing w:after="0" w:line="18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growth prospects.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 xml:space="preserve">We may choose to challenge the patentability of claims in a third party's U.S. patent by requesting that the USPTO review the patent claims in an </w:t>
      </w:r>
      <w:r>
        <w:rPr>
          <w:rFonts w:ascii="Arial" w:cs="Arial" w:eastAsia="Arial" w:hAnsi="Arial"/>
          <w:sz w:val="16"/>
          <w:szCs w:val="16"/>
          <w:i w:val="1"/>
          <w:iCs w:val="1"/>
          <w:color w:val="auto"/>
        </w:rPr>
        <w:t>ex-parte</w:t>
      </w:r>
      <w:r>
        <w:rPr>
          <w:rFonts w:ascii="Arial" w:cs="Arial" w:eastAsia="Arial" w:hAnsi="Arial"/>
          <w:sz w:val="16"/>
          <w:szCs w:val="16"/>
          <w:color w:val="auto"/>
        </w:rPr>
        <w:t xml:space="preserve"> re-exam,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with patents throughout the world.</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Filing, prosecuting and defending patents on all of our product candidates throughout the world would be prohibitively expensive, and the laws of some foreign countries may not protect our rights to the same extent as the laws of the United States. Competitors may use our technology in jurisdictions where we have not obtained patent protection to develop their own products and, further, may export otherwise infringing products to territories where we have patent protection but where enforcement is not as strong as in the United States. These products may compete with our product candidates in jurisdictions where we do not have any issued patents and our patent claims or other intellectual property rights may not be effective or sufficient to prevent them from so competing. Many companies have encountered significant problems in protecting and defending intellectual property rights in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ind w:right="200"/>
        <w:spacing w:after="0" w:line="294" w:lineRule="auto"/>
        <w:rPr>
          <w:sz w:val="20"/>
          <w:szCs w:val="20"/>
          <w:color w:val="auto"/>
        </w:rPr>
      </w:pPr>
      <w:r>
        <w:rPr>
          <w:rFonts w:ascii="Arial" w:cs="Arial" w:eastAsia="Arial" w:hAnsi="Arial"/>
          <w:sz w:val="16"/>
          <w:szCs w:val="16"/>
          <w:color w:val="auto"/>
        </w:rPr>
        <w:t>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against third parties in violation of our proprietary rights generally. The initiation of proceedings to enforce our intellectual property rights or proceedings by third parties to challenge the scope or validity of our patent rights in foreign jurisdictions could result in substantial cost and divert our efforts and attention from other aspects of our business and could put our patents at risk of being invalidated or interpreted narrowly.</w:t>
      </w:r>
    </w:p>
    <w:p>
      <w:pPr>
        <w:spacing w:after="0" w:line="17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growth prospects may be adversely affected.</w:t>
      </w:r>
    </w:p>
    <w:p>
      <w:pPr>
        <w:spacing w:after="0" w:line="167" w:lineRule="exact"/>
        <w:rPr>
          <w:sz w:val="20"/>
          <w:szCs w:val="20"/>
          <w:color w:val="auto"/>
        </w:rPr>
      </w:pPr>
    </w:p>
    <w:p>
      <w:pPr>
        <w:ind w:right="760"/>
        <w:spacing w:after="0" w:line="259" w:lineRule="auto"/>
        <w:rPr>
          <w:sz w:val="20"/>
          <w:szCs w:val="20"/>
          <w:color w:val="auto"/>
        </w:rPr>
      </w:pPr>
      <w:r>
        <w:rPr>
          <w:rFonts w:ascii="Arial" w:cs="Arial" w:eastAsia="Arial" w:hAnsi="Arial"/>
          <w:sz w:val="18"/>
          <w:szCs w:val="18"/>
          <w:b w:val="1"/>
          <w:bCs w:val="1"/>
          <w:i w:val="1"/>
          <w:iCs w:val="1"/>
          <w:color w:val="auto"/>
        </w:rPr>
        <w:t>Obtaining and maintaining our patent protection depends upon compliance with various procedural, document submission, fee payment and other requirements imposed by governmental patent agencies, and our patent protection could be reduced or eliminated for non-compliance with these requirements.</w:t>
      </w:r>
    </w:p>
    <w:p>
      <w:pPr>
        <w:spacing w:after="0" w:line="194"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prosecution process and following the issuance of a patent. In some cases, an inadvertent failure to comply with such requirements can be cured by payment of a late fee or by other means in accordance with the applicable rules. There are situations, however, in which non-compliance could result in abandonment or lapse of a patent or patent application, resulting in partial or complete loss of patent rights in the relevant jurisdiction. In such an event, competitors might be able to enter the market earlier than would otherwise have been the case if our patent were in force, which would have a material adverse effect on our business.</w:t>
      </w:r>
    </w:p>
    <w:p>
      <w:pPr>
        <w:spacing w:after="0" w:line="19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186"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As is common in the biotechnology and pharmaceutical industries, we employ individuals who were previously employed at other biotechnology or pharmaceutical companies, including our competitors or potential competitors. Although no claims against us are currently pending, we may be subject to claims that these employees, consultants or advisors or we have inadvertently or otherwise used or disclosed trade secrets or other proprietary information of their current or former employers.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7" w:name="page48"/>
    <w:bookmarkEnd w:id="47"/>
    <w:p>
      <w:pPr>
        <w:ind w:right="80"/>
        <w:spacing w:after="0" w:line="268" w:lineRule="auto"/>
        <w:rPr>
          <w:sz w:val="20"/>
          <w:szCs w:val="20"/>
          <w:color w:val="auto"/>
        </w:rPr>
      </w:pPr>
      <w:r>
        <w:rPr>
          <w:rFonts w:ascii="Arial" w:cs="Arial" w:eastAsia="Arial" w:hAnsi="Arial"/>
          <w:sz w:val="18"/>
          <w:szCs w:val="18"/>
          <w:color w:val="auto"/>
        </w:rPr>
        <w:t>Uncertainties resulting from the initiation and continuation of patent litigation or other intellectual property related proceedings could adversely affect our ability to compete in the marketplace.</w:t>
      </w:r>
    </w:p>
    <w:p>
      <w:pPr>
        <w:spacing w:after="0" w:line="186"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growth prospects.</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Confidentiality agreements with employees and third parties may not prevent unauthorized disclosure of trade secrets and other proprietary information.</w:t>
      </w:r>
    </w:p>
    <w:p>
      <w:pPr>
        <w:spacing w:after="0" w:line="26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platform technology and discovery and development processes that involve proprietary know-how, information or technology that is not covered by patents. However, trade secrets can be difficult to protect and we have limited control over the protection of trade secrets used by our collaborators and suppliers. Although we seek to protect our proprietary technology and processes, in part, by entering into confidentiality agreements with parties who have access them, such as our employees, consultants, and outside scientific advisors, contractors and collaborators, we cannot guarantee that we have entered into such agreements with each party that may have or have had access to our trade secrets or proprietary technology and processes. Despite our efforts,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Moreover, our competitors or other third parties may independently develop equivalent knowledge, methods and know-how.</w:t>
      </w:r>
    </w:p>
    <w:p>
      <w:pPr>
        <w:spacing w:after="0" w:line="177" w:lineRule="exact"/>
        <w:rPr>
          <w:sz w:val="20"/>
          <w:szCs w:val="20"/>
          <w:color w:val="auto"/>
        </w:rPr>
      </w:pPr>
    </w:p>
    <w:p>
      <w:pPr>
        <w:ind w:right="40" w:firstLine="351"/>
        <w:spacing w:after="0" w:line="314" w:lineRule="auto"/>
        <w:rPr>
          <w:sz w:val="20"/>
          <w:szCs w:val="20"/>
          <w:color w:val="auto"/>
        </w:rPr>
      </w:pPr>
      <w:r>
        <w:rPr>
          <w:rFonts w:ascii="Arial" w:cs="Arial" w:eastAsia="Arial" w:hAnsi="Arial"/>
          <w:sz w:val="15"/>
          <w:szCs w:val="15"/>
          <w:color w:val="auto"/>
        </w:rPr>
        <w:t>Enforcing a claim that a third party illegally obtained and is using any of our trade secrets is expensive and time consuming, and the outcome is unpredictable. In addition, courts inside and outside the United States sometimes are less willing or unwilling to protect trade secrets. If we choose to go to court to stop a third party from using any of our trade secrets, we may incur substantial costs. These lawsuits may consume our time and other resources even if we are successful. If any of our trade secrets were determined to be lawfully obtained or independently developed by a competitor or other third party, we may not be able to prevent them from using that technology or information to compete with us. If any of our trade secrets were to be disclosed to or independently developed by a competitor or other third party, our competitive position, business, results of operations and prospects would be materially and adversely harmed.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99" w:lineRule="exact"/>
        <w:rPr>
          <w:sz w:val="20"/>
          <w:szCs w:val="20"/>
          <w:color w:val="auto"/>
        </w:rPr>
      </w:pPr>
    </w:p>
    <w:p>
      <w:pPr>
        <w:ind w:left="1080" w:right="26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be able to make or use compounds that are similar to the pharmaceutical compounds used in our product candidates but that are not covered by the claims of our patents;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8" w:name="page49"/>
    <w:bookmarkEnd w:id="48"/>
    <w:p>
      <w:pPr>
        <w:ind w:left="540" w:right="80" w:hanging="532"/>
        <w:spacing w:after="0" w:line="268"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APIs in our current product candidates will eventually become commercially available in generic drug products, and no patent protection may be available with regard to formulation or method of use;</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our future licensors or collaborators, might not have been the first to file patent applications for these inventions;</w:t>
      </w:r>
    </w:p>
    <w:p>
      <w:pPr>
        <w:spacing w:after="0" w:line="238" w:lineRule="exact"/>
        <w:rPr>
          <w:rFonts w:ascii="Arial" w:cs="Arial" w:eastAsia="Arial" w:hAnsi="Arial"/>
          <w:sz w:val="18"/>
          <w:szCs w:val="18"/>
          <w:color w:val="auto"/>
        </w:rPr>
      </w:pPr>
    </w:p>
    <w:p>
      <w:pPr>
        <w:ind w:left="540" w:right="180" w:hanging="532"/>
        <w:spacing w:after="0" w:line="268"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our future licensors or collaborators, might not have been the first to make the inventions covered by our issued patents or pending patent applications;</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it is possible that our current or future pending or licensed patent applications will not result in issued patents;</w:t>
      </w:r>
    </w:p>
    <w:p>
      <w:pPr>
        <w:spacing w:after="0" w:line="238"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it is possible that public disclosures or publications, including disclosures or publications made by us, could be used in an attempt to invalidate our patents;</w:t>
      </w:r>
    </w:p>
    <w:p>
      <w:pPr>
        <w:spacing w:after="0" w:line="199" w:lineRule="exact"/>
        <w:rPr>
          <w:rFonts w:ascii="Arial" w:cs="Arial" w:eastAsia="Arial" w:hAnsi="Arial"/>
          <w:sz w:val="18"/>
          <w:szCs w:val="18"/>
          <w:color w:val="auto"/>
        </w:rPr>
      </w:pPr>
    </w:p>
    <w:p>
      <w:pPr>
        <w:ind w:left="540" w:right="320" w:hanging="532"/>
        <w:spacing w:after="0" w:line="268"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 or other third parties;</w:t>
      </w:r>
    </w:p>
    <w:p>
      <w:pPr>
        <w:spacing w:after="0" w:line="212" w:lineRule="exact"/>
        <w:rPr>
          <w:rFonts w:ascii="Arial" w:cs="Arial" w:eastAsia="Arial" w:hAnsi="Arial"/>
          <w:sz w:val="18"/>
          <w:szCs w:val="18"/>
          <w:color w:val="auto"/>
        </w:rPr>
      </w:pPr>
    </w:p>
    <w:p>
      <w:pPr>
        <w:ind w:left="540" w:right="100" w:hanging="532"/>
        <w:spacing w:after="0" w:line="332"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152" w:lineRule="exact"/>
        <w:rPr>
          <w:rFonts w:ascii="Arial" w:cs="Arial" w:eastAsia="Arial" w:hAnsi="Arial"/>
          <w:sz w:val="16"/>
          <w:szCs w:val="16"/>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it is possible that others may circumvent our patents;</w:t>
      </w:r>
    </w:p>
    <w:p>
      <w:pPr>
        <w:spacing w:after="0" w:line="238" w:lineRule="exact"/>
        <w:rPr>
          <w:rFonts w:ascii="Arial" w:cs="Arial" w:eastAsia="Arial" w:hAnsi="Arial"/>
          <w:sz w:val="18"/>
          <w:szCs w:val="18"/>
          <w:color w:val="auto"/>
        </w:rPr>
      </w:pPr>
    </w:p>
    <w:p>
      <w:pPr>
        <w:ind w:left="540" w:right="340" w:hanging="532"/>
        <w:spacing w:after="0" w:line="268"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products or technology similar to ours;</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proprietary rights to the same extent as the laws of the United States;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claims of our issued patents or patent applications, if and when issued, may not cover our product candidates;</w:t>
      </w:r>
    </w:p>
    <w:p>
      <w:pPr>
        <w:spacing w:after="0" w:line="238" w:lineRule="exact"/>
        <w:rPr>
          <w:rFonts w:ascii="Arial" w:cs="Arial" w:eastAsia="Arial" w:hAnsi="Arial"/>
          <w:sz w:val="18"/>
          <w:szCs w:val="18"/>
          <w:color w:val="auto"/>
        </w:rPr>
      </w:pPr>
    </w:p>
    <w:p>
      <w:pPr>
        <w:ind w:left="540" w:right="80" w:hanging="532"/>
        <w:spacing w:after="0" w:line="268"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issued patents may not provide us with any competitive advantages, may be narrowed in scope, or be held invalid or unenforceable as a result of legal challenges by third parties;</w:t>
      </w:r>
    </w:p>
    <w:p>
      <w:pPr>
        <w:spacing w:after="0" w:line="212"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inventors of our patents or patent applications may become involved with competitors, develop products or processes which design around our patents, or become hostile to us or the patents or patent applications on which they are named as inventors;</w:t>
      </w:r>
    </w:p>
    <w:p>
      <w:pPr>
        <w:spacing w:after="0" w:line="199" w:lineRule="exact"/>
        <w:rPr>
          <w:rFonts w:ascii="Arial" w:cs="Arial" w:eastAsia="Arial" w:hAnsi="Arial"/>
          <w:sz w:val="18"/>
          <w:szCs w:val="18"/>
          <w:color w:val="auto"/>
        </w:rPr>
      </w:pPr>
    </w:p>
    <w:p>
      <w:pPr>
        <w:ind w:left="540" w:right="500" w:hanging="532"/>
        <w:spacing w:after="0" w:line="268"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have engaged in scientific collaborations in the past and will continue to do so in the future. Such collaborators may develop adjacent or competing products to ours that are outside the scope of our patents;</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for which we can obtain patent protection;</w:t>
      </w:r>
    </w:p>
    <w:p>
      <w:pPr>
        <w:spacing w:after="0" w:line="238" w:lineRule="exact"/>
        <w:rPr>
          <w:rFonts w:ascii="Arial" w:cs="Arial" w:eastAsia="Arial" w:hAnsi="Arial"/>
          <w:sz w:val="18"/>
          <w:szCs w:val="18"/>
          <w:color w:val="auto"/>
        </w:rPr>
      </w:pPr>
    </w:p>
    <w:p>
      <w:pPr>
        <w:ind w:left="540" w:right="40" w:hanging="532"/>
        <w:spacing w:after="0" w:line="268"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choose not to pursue patent protection in order to maintain certain trade secrets or know-how, and a third party may subsequently obtain a patent covering such intellectual property;</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it is possible that product candidates or diagnostic tests we develop may be covered by third parties' patents or other exclusive rights; or</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45" w:right="25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growth prospects.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and marketing approval and other legal compliance matters</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have never obtained marketing approval for a product candidate and we may be unable to obtain, or may be delayed in obtaining, marketing approval for any of our product candidates.</w:t>
      </w:r>
    </w:p>
    <w:p>
      <w:pPr>
        <w:spacing w:after="0" w:line="186"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have never obtained marketing approval for a product candidate. 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It is possible that the FDA and comparable foreign regulatory authorities may refuse to accept for filing and substantive review any new drug applications, or NDAs, marketing authorization applications, or MAA, that we submit for our product candidates or may conclude after review of our data that our application is insufficient to obtain marketing approval of our product candidates. If the FDA, or comparable foreign regulatory authorities do not accept or approve our NDAs or MAAs for our product candidates, it may require that we conduct additional clinical, nonclinical or manufacturing validation studies and submit that data before it will reconsider our applications. Depending on the extent of these or any other regulatory authority-required studies, approval of any NDA, MAA or other application that we submit may be delayed by several years, or may require us to expend more resources than we have available. It is also possible that additional studies, if performed and completed, may not be considered sufficient by the FDA or comparable foreign regulatory authorities to approve our NDAs or our MAAs.</w:t>
      </w:r>
    </w:p>
    <w:p>
      <w:pPr>
        <w:spacing w:after="0" w:line="177" w:lineRule="exact"/>
        <w:rPr>
          <w:sz w:val="20"/>
          <w:szCs w:val="20"/>
          <w:color w:val="auto"/>
        </w:rPr>
      </w:pPr>
    </w:p>
    <w:p>
      <w:pPr>
        <w:ind w:right="200" w:firstLine="341"/>
        <w:spacing w:after="0" w:line="259" w:lineRule="auto"/>
        <w:rPr>
          <w:sz w:val="20"/>
          <w:szCs w:val="20"/>
          <w:color w:val="auto"/>
        </w:rPr>
      </w:pPr>
      <w:r>
        <w:rPr>
          <w:rFonts w:ascii="Arial" w:cs="Arial" w:eastAsia="Arial" w:hAnsi="Arial"/>
          <w:sz w:val="18"/>
          <w:szCs w:val="18"/>
          <w:color w:val="auto"/>
        </w:rPr>
        <w:t>Any delay in obtaining, or an inability to obtain, marketing approvals would prevent us from commercializing our product candidates, generating revenues and achieving and sustaining profitability. If any of these outcomes occur, we may be forced to abandon our development efforts for our product candidates, which could significantly harm our business.</w:t>
      </w:r>
    </w:p>
    <w:p>
      <w:pPr>
        <w:spacing w:after="0" w:line="194"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b w:val="1"/>
          <w:bCs w:val="1"/>
          <w:i w:val="1"/>
          <w:iCs w:val="1"/>
          <w:color w:val="auto"/>
        </w:rPr>
        <w:t>Even if we complete the necessary preclinical studies and clinical trials, the marketing approval process is expensive, time-consuming and uncertain and may prevent us, or any future collaborators, from obtaining approvals for the commercialization of some or all of our product candidates. As a result, we cannot predict when or if, and in which territories, we, or any future collaborators, will obtain marketing approval to commercialize a product candidate.</w:t>
      </w:r>
    </w:p>
    <w:p>
      <w:pPr>
        <w:spacing w:after="0" w:line="142" w:lineRule="exact"/>
        <w:rPr>
          <w:sz w:val="20"/>
          <w:szCs w:val="20"/>
          <w:color w:val="auto"/>
        </w:rPr>
      </w:pPr>
    </w:p>
    <w:p>
      <w:pPr>
        <w:ind w:right="60" w:firstLine="348"/>
        <w:spacing w:after="0" w:line="253" w:lineRule="auto"/>
        <w:rPr>
          <w:sz w:val="20"/>
          <w:szCs w:val="20"/>
          <w:color w:val="auto"/>
        </w:rPr>
      </w:pPr>
      <w:r>
        <w:rPr>
          <w:rFonts w:ascii="Arial" w:cs="Arial" w:eastAsia="Arial" w:hAnsi="Arial"/>
          <w:sz w:val="18"/>
          <w:szCs w:val="18"/>
          <w:color w:val="auto"/>
        </w:rPr>
        <w:t>The research, testing, manufacturing, labeling, approval, selling, marketing, promotion and distribution of drugs are subject to extensive regulation by the FDA and comparable foreign regulatory authorities, whose laws and regulations may differ from country to country. We, and any future collaborators, are not permitted to market our product candidates in the United States or in other countries until we or they receive approval of an NDA from the FDA or marketing approval from comparable foreign regulatory authorities. Our product candidates are in early stages of development and are subject to the risks of failure inherent in drug development. We have not submitted an application for or received marketing approval for any of our product candidates in the United States or in any other jurisdiction. We have limited experience in conducting and managing the clinical trials necessary to obtain marketing approvals, including FDA approval of an NDA.</w:t>
      </w:r>
    </w:p>
    <w:p>
      <w:pPr>
        <w:spacing w:after="0" w:line="20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process of obtaining marketing approvals, both in the United States and abroad, is a lengthy, expensive and uncertain process.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ind w:right="60"/>
        <w:spacing w:after="0" w:line="298" w:lineRule="auto"/>
        <w:rPr>
          <w:sz w:val="20"/>
          <w:szCs w:val="20"/>
          <w:color w:val="auto"/>
        </w:rPr>
      </w:pPr>
      <w:r>
        <w:rPr>
          <w:rFonts w:ascii="Arial" w:cs="Arial" w:eastAsia="Arial" w:hAnsi="Arial"/>
          <w:sz w:val="16"/>
          <w:szCs w:val="16"/>
          <w:color w:val="auto"/>
        </w:rPr>
        <w:t>manufacturing facilities by, the regulatory authorities. The FDA or other comparable foreign regulatory authorities have substantial discretion and may determine that our product candidates are not safe and effective, only moderately effective or have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spacing w:after="0" w:line="167"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Our product candidates could fail to receive marketing approval, or marketing approval for our product candidates could be limited or delayed, for many reasons, including the following:</w:t>
      </w:r>
    </w:p>
    <w:p>
      <w:pPr>
        <w:spacing w:after="0" w:line="199"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 and applications or to obtain marketing approval in the United States or elsewhere;</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w:t>
      </w:r>
    </w:p>
    <w:p>
      <w:pPr>
        <w:spacing w:after="0" w:line="21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any companion diagnostics that may be required in connection with approval of our therapeutic product candidates</w:t>
      </w:r>
    </w:p>
    <w:p>
      <w:pPr>
        <w:spacing w:after="0" w:line="199"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FDA or the applicable foreign regulatory agency may fail to approve the formulation, labeling and/or the specifications for our product candidate</w:t>
      </w:r>
    </w:p>
    <w:p>
      <w:pPr>
        <w:spacing w:after="0" w:line="199"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marketing approval policies during the development period, changes in or the enactment or promulgation of additional statutes, regulations or guidance or changes in regulatory review for each submitted drug application; and</w:t>
      </w:r>
    </w:p>
    <w:p>
      <w:pPr>
        <w:spacing w:after="0" w:line="21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86"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This lengthy approval process as well as the unpredictability of clinical trial results may result in our failing to obtain marketing approval to market APR-246, which would significantly harm our business, results of operations and prospects. Regulatory authorities have substantial discretion in the approval process and may refuse to accept any application or may decide that our data are insufficient for approval and require additional preclinical studies, clinical trials or other studies and testing. In addition, varying interpretations of the data obtained from preclinical studies and clinical trials could delay, limit or prevent marketing approval of a product candidate. Any marketing approval we, or any collaborators we may have in the future, ultimately obtain may be limited or subject to restrictions or post-approval commitments that render the approved drug not commercially viable.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ind w:right="360" w:firstLine="341"/>
        <w:spacing w:after="0" w:line="259" w:lineRule="auto"/>
        <w:rPr>
          <w:sz w:val="20"/>
          <w:szCs w:val="20"/>
          <w:color w:val="auto"/>
        </w:rPr>
      </w:pPr>
      <w:r>
        <w:rPr>
          <w:rFonts w:ascii="Arial" w:cs="Arial" w:eastAsia="Arial" w:hAnsi="Arial"/>
          <w:sz w:val="18"/>
          <w:szCs w:val="18"/>
          <w:color w:val="auto"/>
        </w:rPr>
        <w:t>Any delay in obtaining or failure to obtain required approvals could materially adversely affect our ability or that of any collaborators we may have to generate revenue from the particular product candidate, which likely would result in significant harm to our financial position and adversely impact our stock price.</w:t>
      </w:r>
    </w:p>
    <w:p>
      <w:pPr>
        <w:spacing w:after="0" w:line="194"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b w:val="1"/>
          <w:bCs w:val="1"/>
          <w:i w:val="1"/>
          <w:iCs w:val="1"/>
          <w:color w:val="auto"/>
        </w:rPr>
        <w:t>Failure to obtain marketing approval in foreign jurisdictions would prevent our product candidates from being marketed abroad. Any approval we are granted for our product candidates in the United States would not assure approval of our product candidates in foreign jurisdictions.</w:t>
      </w:r>
    </w:p>
    <w:p>
      <w:pPr>
        <w:spacing w:after="0" w:line="139"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order to market and sell our product candidates in the EU and many other jurisdictions, we, and any collaborators we may have in the future,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of the United States generally includes all of the risks associated with obtaining FDA approval. In addition, in many countries outside of the United States, it is required that the drug be approved for reimbursement before the drug can be approved for sale in that country. We, and any collaborators we may have in the future, may not obtain approvals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w:t>
      </w:r>
    </w:p>
    <w:p>
      <w:pPr>
        <w:spacing w:after="0" w:line="172"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On June 23, 2016, the electorate in the United Kingdom, or the U.K., voted in favor of leaving the EU, commonly referred to as Brexit. The U.K. government communicated the notice of withdrawal to the EU on March 29, 2017. As part of the withdrawal process, the U.K. government and the EU negotiated a withdrawal agreement that was approved by the U.K. Prime Minister and the leaders of EU member states. However, under U.K. law, such agreement also requires the approval of the U.K. parliament, and the U.K. parliament has to date refused to approve the agreement. While negotiations are continuing, there remains considerable uncertainty around the withdrawal. As a result, the EU and the U.K. have agreed to delay the date on which the U.K. will leave the EU to October 31, 2019, although if the U.K. parliament approves the withdrawal agreement prior to that date, it is possible that the U.K. may leave the EU on an earlier date; however, failure to obtain parliamentary approval of an agreed withdrawal agreement may, absent a revocation of the U.K.'s notification to withdraw or some other further delay, mean that the U.K. would leave the EU on October 31, 2019 with no agreement (a so-called "hard Brexit"). Absent delay or mitigating legislative measures by individual EU Member States, in the event of a hard Brexit the trade relationship between the U.K. and the EU would be solely based on World Trade Organization terms, thereby hindering current levels of mutual market access.</w:t>
      </w:r>
    </w:p>
    <w:p>
      <w:pPr>
        <w:spacing w:after="0" w:line="177"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If the U.K. and the EU do reach a deal on or before October 31, 2019 (or any later withdrawal date which may subsequently be agreed between the U.K. and the EU) or if the U.K.'s withdrawal takes effect on the terms of the existing withdrawal agreement, a transition period may start that lasts until December 31, 2020. Based upon the currently proposed transition plan, during this period, the U.K. would, with some exceptions, remain subject to EU law. It would also maintain access to the EU's single market. During this transition phase, the U.K. and EU would also start negotiations on their future trade relationship.</w:t>
      </w:r>
    </w:p>
    <w:p>
      <w:pPr>
        <w:spacing w:after="0" w:line="167"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consequences for the economies of the U.K. and the EU member states as a result of the U.K.'s withdrawal from the EU are unknown and unpredictable, especially in the case of a hard Brexit. Given the lack of comparable precedent, it is unclear what the broader macro-economic and financial implications the U.K. leaving the EU with no agreements in place would have.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ind w:firstLine="351"/>
        <w:spacing w:after="0" w:line="294" w:lineRule="auto"/>
        <w:rPr>
          <w:sz w:val="20"/>
          <w:szCs w:val="20"/>
          <w:color w:val="auto"/>
        </w:rPr>
      </w:pPr>
      <w:r>
        <w:rPr>
          <w:rFonts w:ascii="Arial" w:cs="Arial" w:eastAsia="Arial" w:hAnsi="Arial"/>
          <w:sz w:val="16"/>
          <w:szCs w:val="16"/>
          <w:color w:val="auto"/>
        </w:rPr>
        <w:t>Since a significant proportion of the regulatory framework in the U.K. is derived from EU directives and regulations, Brexit could materially impact the regulatory regime with respect to the approval of our product candidates in the U.K. or the EU. Any delay in obtaining, or an inability to obtain, any marketing approvals, as a result of Brexit or otherwise, would prevent us from commercializing our product candidates in the U.K. and/or the EU and restrict our ability to generate revenue and achieve and sustain profitability. If any of these outcomes occur, we may be forced to restrict or delay efforts to seek regulatory approval in the U.K. and/or EU for our product candidates, which could significantly and materially harm our business.</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or any future collaborators, may not be able to obtain or maintain orphan drug exclusivity for our product candidates and, even if we do, that exclusivity many not prevent the FDA or the European Commission from approving competing products.</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Regulatory authorities in some jurisdictions, including the United States and the EU,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APR-246 has received orphan drug designation from the FDA for use in the treatment of high-risk myelodysplastic syndromes, or MDS, and orphan drug designation from the EMA for MDS, acute myeloid leukemia, or AML, and ovarian cancer. We may seek orphan drug designations for APR-246 for other indications or for other of our product candidates. There can be no assurances that we will be able to obtain such designations.</w:t>
      </w:r>
    </w:p>
    <w:p>
      <w:pPr>
        <w:spacing w:after="0" w:line="17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the United States, orphan drug designation entitles a party to financial incentives such as opportunities for grant funding towards clinical trial costs, tax advantages and user-fee waivers. In addition, the company that obtains the first FDA approval for a designated orphan drug for a rare disease receives marketing exclusivity for use of that drug for the designated condition for a period of seven years. Once a product receives orphan drug exclusivity, a second product that is considered to be the same drug for the same indication generally may be approved during the exclusivity period only if the second product is shown to be "clinically superior" to the original orphan drug in that it is more effective, safer or otherwise makes a "major contribution to patient care" or the holder of exclusive approval cannot assure the availability of sufficient quantities of the orphan drug to meet the needs of patients with the disease or condition for which the drug was designated.</w:t>
      </w:r>
    </w:p>
    <w:p>
      <w:pPr>
        <w:spacing w:after="0" w:line="172" w:lineRule="exact"/>
        <w:rPr>
          <w:sz w:val="20"/>
          <w:szCs w:val="20"/>
          <w:color w:val="auto"/>
        </w:rPr>
      </w:pPr>
    </w:p>
    <w:p>
      <w:pPr>
        <w:ind w:right="160" w:firstLine="348"/>
        <w:spacing w:after="0" w:line="305" w:lineRule="auto"/>
        <w:rPr>
          <w:sz w:val="20"/>
          <w:szCs w:val="20"/>
          <w:color w:val="auto"/>
        </w:rPr>
      </w:pPr>
      <w:r>
        <w:rPr>
          <w:rFonts w:ascii="Arial" w:cs="Arial" w:eastAsia="Arial" w:hAnsi="Arial"/>
          <w:sz w:val="15"/>
          <w:szCs w:val="15"/>
          <w:color w:val="auto"/>
        </w:rPr>
        <w:t>The European Commission can grant orphan drug product designation to products for which the sponsor can establish that it is intended for the diagnosis, prevention, or treatment of (1) a life-threatening or chronically debilitating condition affecting not more than five in 10,000 people in the European Union, or</w:t>
      </w:r>
    </w:p>
    <w:p>
      <w:pPr>
        <w:ind w:firstLine="8"/>
        <w:spacing w:after="0" w:line="287" w:lineRule="auto"/>
        <w:tabs>
          <w:tab w:leader="none" w:pos="2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life threatening, seriously debilitating or serious and chronic condition in the European Union and that without incentives it is unlikely that sales of the drug in the European Union would generate a sufficient return to justify the necessary investment. In addition, it must be established that there is no other satisfactory method approved in the European Union of diagnosing, preventing or treating the condition, or if such a method exists, the proposed orphan drug will be of significant benefit to patients. Orphan drug designation is not a marketing authorization. It is a designation that provides a number of benefits, including fee reductions, regulatory assistance, and the possibility to apply for a centralized EU marketing authorization, as well as 10 years of market exclusivity following a marketing authorization. During this market exclusivity period, neither the EMA, nor the European Commission nor the EU member states can accept an application or grant a marketing authorization for a 'similar medicinal product.' A 'similar medicinal product' is defined as a medicinal product containing a similar active substance or substances as contained in an authorized orphan medicinal product, and which is intended for the same therapeutic indication. The market</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53" w:name="page54"/>
    <w:bookmarkEnd w:id="53"/>
    <w:p>
      <w:pPr>
        <w:spacing w:after="0" w:line="294" w:lineRule="auto"/>
        <w:rPr>
          <w:sz w:val="20"/>
          <w:szCs w:val="20"/>
          <w:color w:val="auto"/>
        </w:rPr>
      </w:pPr>
      <w:r>
        <w:rPr>
          <w:rFonts w:ascii="Arial" w:cs="Arial" w:eastAsia="Arial" w:hAnsi="Arial"/>
          <w:sz w:val="16"/>
          <w:szCs w:val="16"/>
          <w:color w:val="auto"/>
        </w:rPr>
        <w:t>exclusivity period for the authorized therapeutic indication may be reduced to six years if, at the end of the fifth year, it is established that the orphan designation criteria are no longer met, including where it is shown that the product is sufficiently profitable not to justify maintenance of market exclusivity. In addition, a competing similar medicinal product may in limited circumstances be authorized prior to the expiration of the market exclusivity period, including if it is shown to be safer, more effective or otherwise clinically superior to our product. Our product can lose orphan designation, and the related benefits, prior to us obtaining a marketing authorization if it is demonstrated that the orphan designation criteria are no longer met.</w:t>
      </w:r>
    </w:p>
    <w:p>
      <w:pPr>
        <w:spacing w:after="0" w:line="17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Even if we, or any future collaborators, obtain orphan drug designation for a product candidate, we, or they,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drug products. If this happens, marketing approval for our product candidate may be delayed due to the first-approved product's orphan drug exclusivity, unless we demonstrate clinical superiority. We may not be able to demonstrate that our product is clinically superior to a first-approved product with orphan drug exclusivity, i.e., that it provides greater safety or efficacy or a major contribution to patient care.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drug any advantage in the regulatory review or approval process.</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Even if we, or any collaborators we may have in the future, obtain marketing approvals for our product candidates, the terms of approvals and ongoing regulation of our product candidates could require substantial expenditure of resources and may limit how we, or they, manufacture and market our product candidates, which could materially impair our ability to generate revenue.</w:t>
      </w:r>
    </w:p>
    <w:p>
      <w:pPr>
        <w:spacing w:after="0" w:line="194" w:lineRule="exact"/>
        <w:rPr>
          <w:sz w:val="20"/>
          <w:szCs w:val="20"/>
          <w:color w:val="auto"/>
        </w:rPr>
      </w:pPr>
    </w:p>
    <w:p>
      <w:pPr>
        <w:ind w:right="120" w:firstLine="351"/>
        <w:spacing w:after="0" w:line="312" w:lineRule="auto"/>
        <w:rPr>
          <w:sz w:val="20"/>
          <w:szCs w:val="20"/>
          <w:color w:val="auto"/>
        </w:rPr>
      </w:pPr>
      <w:r>
        <w:rPr>
          <w:rFonts w:ascii="Arial" w:cs="Arial" w:eastAsia="Arial" w:hAnsi="Arial"/>
          <w:sz w:val="15"/>
          <w:szCs w:val="15"/>
          <w:color w:val="auto"/>
        </w:rPr>
        <w:t>Once marketing approval has been granted, an approved drug and its manufacturer and marketer are subject to ongoing review and extensive regulation. These requirements include submissions of safety and other post-marketing information and reports, user fee requirements, registration and listing requirements, requirements relating to manufacturing, quality control, quality assurance and corresponding maintenance of records and documents, requirements regarding the distribution of samples to physicians and recordkeeping. We, and any collaborators we may have in the future, must also comply with requirements concerning advertising and promotion for any of our product candidates for which we or they obtain marketing approval. Promotional communications with respect to prescription drugs are subject to a variety of legal and regulatory restrictions and must be consistent with the information in the drug's approved labeling. Thus, we, and any collaborators we may have in the future, may not be able to promote any drugs we develop for indications or uses for which they are not approved.</w:t>
      </w:r>
    </w:p>
    <w:p>
      <w:pPr>
        <w:spacing w:after="0" w:line="159"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The FDA or comparable foreign regulatory authorities may also impose requirements for costly post-marketing studies or clinical trials and surveillance to monitor the safety or efficacy of a drug. For example, the approval may be subject to limitations on the indicated uses for which the drug may be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line="291" w:lineRule="auto"/>
        <w:rPr>
          <w:sz w:val="20"/>
          <w:szCs w:val="20"/>
          <w:color w:val="auto"/>
        </w:rPr>
      </w:pPr>
      <w:r>
        <w:rPr>
          <w:rFonts w:ascii="Arial" w:cs="Arial" w:eastAsia="Arial" w:hAnsi="Arial"/>
          <w:sz w:val="16"/>
          <w:szCs w:val="16"/>
          <w:color w:val="auto"/>
        </w:rPr>
        <w:t>marketed or to the conditions of approval, including the requirement to implement a REMS or comparable foreign equivalents, like the EU Risk Management Plan, or RMP, which could include requirements for a restricted distribution system. Manufacturers of approved drugs and those manufacturers' facilities are also required to comply with extensive FDA or comparable foreign regulatory authorities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contract manufacturers, our future collaborators and their contract manufacturers could be subject to periodic unannounced inspections by the FDA or comparable foreign regulatory authorities to monitor and ensure compliance with cGMPs.</w:t>
      </w:r>
    </w:p>
    <w:p>
      <w:pPr>
        <w:spacing w:after="0" w:line="174" w:lineRule="exact"/>
        <w:rPr>
          <w:sz w:val="20"/>
          <w:szCs w:val="20"/>
          <w:color w:val="auto"/>
        </w:rPr>
      </w:pPr>
    </w:p>
    <w:p>
      <w:pPr>
        <w:jc w:val="both"/>
        <w:ind w:right="760" w:firstLine="341"/>
        <w:spacing w:after="0" w:line="259" w:lineRule="auto"/>
        <w:rPr>
          <w:sz w:val="20"/>
          <w:szCs w:val="20"/>
          <w:color w:val="auto"/>
        </w:rPr>
      </w:pPr>
      <w:r>
        <w:rPr>
          <w:rFonts w:ascii="Arial" w:cs="Arial" w:eastAsia="Arial" w:hAnsi="Arial"/>
          <w:sz w:val="18"/>
          <w:szCs w:val="18"/>
          <w:color w:val="auto"/>
        </w:rPr>
        <w:t>Accordingly, assuming we, or our future collaborators, receive marketing approval for one or more of our product candidates, we, and our future collaborators, and our and their contract manufacturers will continue to expend time, money and effort in all areas of regulatory compliance, including manufacturing, production, product surveillance and quality control.</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we, and our future collaborators, are not able to comply with post-approval regulatory requirements, regulatory agencies or enforcement authorities may:</w:t>
      </w:r>
    </w:p>
    <w:p>
      <w:pPr>
        <w:spacing w:after="0" w:line="262"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issue warning letters;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suspend regulatory approval;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 or our collaborators;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or our collaborators' manufacturing facilities;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seize or detain products or require a recall.</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 candidates, if approved. If regulatory sanctions are applied or if regulatory approval is withdrawn, the value of our company and our operating results will be adversely affected.</w:t>
      </w:r>
    </w:p>
    <w:p>
      <w:pPr>
        <w:spacing w:after="0" w:line="197"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regulatory requirements and policies may change, and additional government regulations may be enacted for which we may also be required to comply. We cannot predict the likelihood, nature or extent of government regulation that may arise from future legislation or administrative action, either in the United States or in other countries. If we or any future collaboration partner are not able to maintain regulatory compliance, we or such collaboration partner, as applicable, may face government enforcement action and our business will suffer. Moreover, our or our future collaborators' ability to market any future drugs could be limited, which could adversely affect our ability to achieve or sustain profitability. Further, the cost of compliance with post-approval regulations may have a negative effect on our operating results and financial condition.</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5" w:name="page56"/>
    <w:bookmarkEnd w:id="55"/>
    <w:p>
      <w:pPr>
        <w:spacing w:after="0" w:line="268" w:lineRule="auto"/>
        <w:rPr>
          <w:sz w:val="20"/>
          <w:szCs w:val="20"/>
          <w:color w:val="auto"/>
        </w:rPr>
      </w:pPr>
      <w:r>
        <w:rPr>
          <w:rFonts w:ascii="Arial" w:cs="Arial" w:eastAsia="Arial" w:hAnsi="Arial"/>
          <w:sz w:val="18"/>
          <w:szCs w:val="18"/>
          <w:b w:val="1"/>
          <w:bCs w:val="1"/>
          <w:i w:val="1"/>
          <w:iCs w:val="1"/>
          <w:color w:val="auto"/>
        </w:rPr>
        <w:t>The FDA's and other comparable regulatory authorities' policies may change and additional government regulations may be enacted that could prevent, limit or delay regulatory approval of our product candidates, which would impact our ability to generate revenue.</w:t>
      </w:r>
    </w:p>
    <w:p>
      <w:pPr>
        <w:spacing w:after="0" w:line="186"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In December 2016, the 21st Century Cures Act, or Cures Act, was signed into law. The Cures Act, among other things, is intended to modernize the regulation of drugs and spur innovation, but its ultimate implementation is unclear.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67" w:lineRule="exact"/>
        <w:rPr>
          <w:sz w:val="20"/>
          <w:szCs w:val="20"/>
          <w:color w:val="auto"/>
        </w:rPr>
      </w:pPr>
    </w:p>
    <w:p>
      <w:pPr>
        <w:ind w:right="80" w:firstLine="348"/>
        <w:spacing w:after="0" w:line="285"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Notably, on January 30, 2017, President Trump issued an Executive Order, applicable to all executive agencies, including the FDA, that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the Office of Management and Budget, on February 2, 2017, the administration indicates that the "two-for-one" provisions may apply not only to agency regulations, but also to significant agency guidance documents. In addition, on February 24, 2017, President Trump issued an Executive Order directing each affected agency to designate an agency official as a "Regulatory Reform Officer" and establish a "Regulatory Reform Task Force" to implement the two-for-one provisions and other previously issued Executive Orders relating to the review of federal regulations; however,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75"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b w:val="1"/>
          <w:bCs w:val="1"/>
          <w:i w:val="1"/>
          <w:iCs w:val="1"/>
          <w:color w:val="auto"/>
        </w:rPr>
        <w:t>Any of our product candidates for which we, or our future collaborators, obtain marketing approval in the future will be subject to substantial penalties if we, or they, fail to comply with regulatory requirements or if we, or they, experience unanticipated problems with our product candidates following approval.</w:t>
      </w:r>
    </w:p>
    <w:p>
      <w:pPr>
        <w:spacing w:after="0" w:line="116"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Any of our product candidates for which we, or our future collaborators, obtain marketing approval in the future, will be subject to continual review by the FDA or comparable foreign regulatory authorities.</w:t>
      </w:r>
    </w:p>
    <w:p>
      <w:pPr>
        <w:spacing w:after="0" w:line="186"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For example in the United States, the FDA and other agencies, including the Department of Justice, or the DOJ, closely regulate and monitor the post-approval marketing and promotion of drugs to ensure that they are manufactured, marketed and distributed only for the approved indications and in accordance with the provisions of the approved labeling. The FDA imposes stringent restrictions on manufacturers' communications regarding off-label use and if we, or our future collaborators, do not market any of our product candidates for which we, or they, receive marketing approval for only their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ind w:right="100"/>
        <w:spacing w:after="0" w:line="259" w:lineRule="auto"/>
        <w:rPr>
          <w:sz w:val="20"/>
          <w:szCs w:val="20"/>
          <w:color w:val="auto"/>
        </w:rPr>
      </w:pPr>
      <w:r>
        <w:rPr>
          <w:rFonts w:ascii="Arial" w:cs="Arial" w:eastAsia="Arial" w:hAnsi="Arial"/>
          <w:sz w:val="18"/>
          <w:szCs w:val="18"/>
          <w:color w:val="auto"/>
        </w:rPr>
        <w:t>approved indications, we, or they,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healthcare fraud and abuse laws and state consumer protection laws.</w:t>
      </w:r>
    </w:p>
    <w:p>
      <w:pPr>
        <w:spacing w:after="0" w:line="194"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 candidates or their manufacturers or manufacturing processes, or failure to comply with regulatory requirements, may yield various results, including:</w:t>
      </w:r>
    </w:p>
    <w:p>
      <w:pPr>
        <w:spacing w:after="0" w:line="19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litigation involving patients taking our drug;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such drugs, manufacturers or manufacturing processes;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the labeling or marketing of a drug;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drug distribution or use;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withdrawal of the drugs from the market;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recall of drugs;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coverage by third-party payors;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refusal to permit the import or export of drugs;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drug seizure;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b w:val="1"/>
          <w:bCs w:val="1"/>
          <w:i w:val="1"/>
          <w:iCs w:val="1"/>
          <w:color w:val="auto"/>
        </w:rPr>
        <w:t>Recently enacted and future legislation, and a change in existing government regulations and policies, may increase the difficulty and cost for us and our future collaborators to obtain marketing approval of and commercialize our product candidates and affect the prices we, or they, may obtain.</w:t>
      </w:r>
    </w:p>
    <w:p>
      <w:pPr>
        <w:spacing w:after="0" w:line="11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the United States and some foreign jurisdictions, there have been and continue to be a number of legislative and regulatory changes and proposed changes regarding the healthcare system that could prevent or delay marketing approval of our product candidates, restrict or regulate post-approval activities and affect our ability, or the ability of our future collaborators, to profitably sell any drugs for which we, or they, obtain marketing approval. We expect that current laws, as well as other healthcare reform measures that may be adopted in the future, may result in more rigorous coverage criteria and additional downward pressure on the price that we, or our future collaborators, may receive for any approved drugs.</w:t>
      </w:r>
    </w:p>
    <w:p>
      <w:pPr>
        <w:spacing w:after="0" w:line="17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the United States, the Congress and recent presidential administrations have enacted or are considering a number of legislative and regulatory proposals to change the healthcare system in ways that could affect our ability to sell our products, if approved, and to do so profitably. Among policy makers and payors in the United States and elsewhere, there is significant interest in promoting</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changes in healthcare systems with the stated goals of containing healthcare costs, improving quality and expanding access.</w:t>
      </w:r>
    </w:p>
    <w:p>
      <w:pPr>
        <w:spacing w:after="0" w:line="225" w:lineRule="exact"/>
        <w:rPr>
          <w:sz w:val="20"/>
          <w:szCs w:val="20"/>
          <w:color w:val="auto"/>
        </w:rPr>
      </w:pPr>
    </w:p>
    <w:p>
      <w:pPr>
        <w:ind w:right="40" w:firstLine="351"/>
        <w:spacing w:after="0" w:line="285" w:lineRule="auto"/>
        <w:rPr>
          <w:sz w:val="20"/>
          <w:szCs w:val="20"/>
          <w:color w:val="auto"/>
        </w:rPr>
      </w:pPr>
      <w:r>
        <w:rPr>
          <w:rFonts w:ascii="Arial" w:cs="Arial" w:eastAsia="Arial" w:hAnsi="Arial"/>
          <w:sz w:val="16"/>
          <w:szCs w:val="16"/>
          <w:color w:val="auto"/>
        </w:rPr>
        <w:t>In the United States, the pharmaceutical industry has been a particular focus of efforts to reform the healthcare system and has been significantly affected by major legislative initiatives, including the Patient Protection and Affordable Care Act, as amended by the Health Care and Education Reconciliation Act (collectively, "PPACA"), which contains provisions that may potentially affect the profitability of our products, including, for example, increased rebates for products sold to Medicaid programs, extension of Medicaid rebates to Medicaid managed care plans, mandatory discounts for certain Medicare Part D beneficiaries and annual fees based on pharmaceutical companies' share of sales to federal health care programs, and expansion of the entities eligible for discounts under the Public Health Services pharmaceutical pricing program. There have been judicial and Congressional challenges to the PPACA, as well as efforts by the Trump administration to repeal or replace certain aspects of the PPACA that contribute to regulatory uncertainty that could affect the profitability of our products. Since January 2017, President Trump has signed several Executive Orders and other directives designed to delay the implementation of certain provisions of the PPACA or otherwise circumvent some of the requirements mandated by the PPACA. In December 2018, a federal district court in Texas ruled the individual mandate was unconstitutional and could not be severed from the PPACA. As a result, the court ruled the remaining provisions of the PPACA were also invalid, though the court declined to issue a preliminary injunction with respect to the PPACA. In April 2019, in a brief filed in the Fifth Circuit Court of Appeals, the Trump Administration took the position that the individual mandate was unconstitutional, that it could not be severed from the PPACA, and, as a result, the PPACA must be invalidated in its entirety. The case is pending before the Fifth Circuit, and it remains unclear whether, and to what extent, the PPACA may be affected by the Fifth Circuit's and possibly other courts' rulings.</w:t>
      </w:r>
    </w:p>
    <w:p>
      <w:pPr>
        <w:spacing w:after="0" w:line="182"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While Congress has not enacted legislation to comprehensively repeal the PPACA, at least two bills affecting the implementation of the PPACA have been signed into law, including the repeal, effective January 1, 2019, of the tax-based shared responsibility payment imposed by the PPACA on certain individuals who fail to maintain qualifying health coverage for all or part of a year, which is commonly referred to as the "individual mandate." Additionally, on January 22, 2018, President Trump signed a continuing resolution on appropriations for fiscal year 2018 that delayed the implementation of certain fees mandated by the PPACA, including the so-called "Cadillac" tax on certain high-cost employer-sponsored health insurance plans and the annual fee imposed on certain health insurance providers. Moreover, effective January 1, 2019, the Bipartisan Budget Act of 2018, among other things, further amends portions of the Social Security Act implemented as part of the PPACA to increase from 50% to 70% the point-of-sale discount that pharmaceutical manufacturers participating in the Coverage Gap Discount Program provide to eligible Medicare Part D beneficiaries during the coverage gap phase of the Part D benefit, commonly referred to as the "donut hole," and to reduce standard beneficiary cost sharing in the coverage gap from 30% to 25% in most Medicare Part D plans. In the future, there may be additional challenges and/or amendments to the PPACA. It remains to be seen precisely what any new legislation will provide, when or if it will be enacted, and what impact it will have on the availability and cost of healthcare items and services, including drug products.</w:t>
      </w:r>
    </w:p>
    <w:p>
      <w:pPr>
        <w:spacing w:after="0" w:line="18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Other legislative changes have been proposed and adopted since PPACA was enacted. These changes include the Budget Control Act of 2011, which, among other things, led to aggregate reductions in Medicare payments to providers of up to 2% per fiscal year that started in April 2013 and, due to subsequent statutory amendments, will continue through 2027 unless additional Congressional action is taken. The American Taxpayer Relief Act of 2012, which, among other changes, reduced Medicare payments to several types of providers and increased the statute of limitations period for the government to recover overpayments to providers from three to five years. These legislative changes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ind w:right="40" w:firstLine="351"/>
        <w:spacing w:after="0" w:line="286" w:lineRule="auto"/>
        <w:rPr>
          <w:sz w:val="20"/>
          <w:szCs w:val="20"/>
          <w:color w:val="auto"/>
        </w:rPr>
      </w:pPr>
      <w:r>
        <w:rPr>
          <w:rFonts w:ascii="Arial" w:cs="Arial" w:eastAsia="Arial" w:hAnsi="Arial"/>
          <w:sz w:val="16"/>
          <w:szCs w:val="16"/>
          <w:color w:val="auto"/>
        </w:rPr>
        <w:t>More recently, the cost of prescription pharmaceuticals has been the subject of considerable discussion in the United States. Congress has begun developing legislation and the Trump Administration has proposed and begun implementing regulatory reforms to further increase transparency around prices and price increases, lower out-of-pocket costs for consumers, and decrease spending on prescription drugs by government programs. Congress has conducted or is in the process of conducting inquiries into the prescription drug industry's pricing practices. The Trump Administration's budget proposal for fiscal year 2019 contained additional drug price control measures that could be enacted in future legislation, including, for example, measures to end Medicare Part B coverage of medications and to shift those medication costs to Medicare Part D, to allow some states to negotiate prescription drug prices under Medicaid and to eliminate cost sharing for generic drugs for low-income patients. While several proposed reform measures will require Congress to pass legislation to become effective, Congress and the Trump Administration have each indicated that it will continue to seek new legislative and/or regulatory measures to address prescription drug costs. At the state level, legislatures are increasingly passing legislation and states are implementing regulations designed to control spending on, and patient out-of-pocket costs for, drug products. Implementation of cost containment measures or other healthcare reforms that affect the pricing and/or availability of drug products may impact our ability to generate revenue, attain or maintain profitability, or commercialize products for which we may receive regulatory approval in the future.</w:t>
      </w:r>
    </w:p>
    <w:p>
      <w:pPr>
        <w:spacing w:after="0" w:line="178"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expect that these and other healthcare reform measures that may be adopted in the future may result in more rigorous coverage criteria and/or new payment methodologies, and place additional downward pressure on the price that we receive for any approved product and/or the level of reimbursement physicians receive for administering any approved product we might bring to market. Reductions in reimbursement levels and imposition of more rigorous coverage criteria or new payment methodologies may negatively impact the prices we receive or the frequency with which our products are prescribed or administered. Any coverage or reimbursement policies instituted by Medicare or other federal health care programs may result in a similar policies from private payors. The implementation of cost containment measures or other healthcare reforms may affect our ability to generate revenue, attain or maintain profitability, or commercialize our product candidates.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4" w:lineRule="exact"/>
        <w:rPr>
          <w:sz w:val="20"/>
          <w:szCs w:val="20"/>
          <w:color w:val="auto"/>
        </w:rPr>
      </w:pPr>
    </w:p>
    <w:p>
      <w:pPr>
        <w:ind w:right="200" w:firstLine="348"/>
        <w:spacing w:after="0" w:line="255" w:lineRule="auto"/>
        <w:rPr>
          <w:sz w:val="20"/>
          <w:szCs w:val="20"/>
          <w:color w:val="auto"/>
        </w:rPr>
      </w:pPr>
      <w:r>
        <w:rPr>
          <w:rFonts w:ascii="Arial" w:cs="Arial" w:eastAsia="Arial" w:hAnsi="Arial"/>
          <w:sz w:val="18"/>
          <w:szCs w:val="18"/>
          <w:color w:val="auto"/>
        </w:rPr>
        <w:t>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that of other available therapies. If reimbursement of our products is unavailable or limited in scope or amount, or if pricing is set at unsatisfactory levels, our ability to generate revenues and become profitable could be impaired.</w:t>
      </w:r>
    </w:p>
    <w:p>
      <w:pPr>
        <w:spacing w:after="0" w:line="197"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Legislative and regulatory proposals have also been made to expand post-approval requirements and restrict sales and promotional activities for drug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United States Congress of the FDA's approval process may significantly delay or prevent marketing approval, as well as subject us and any future collaborators to more stringent drug labeling and post-marketing testing and other requirements.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ind w:right="200"/>
        <w:spacing w:after="0" w:line="332" w:lineRule="auto"/>
        <w:rPr>
          <w:sz w:val="20"/>
          <w:szCs w:val="20"/>
          <w:color w:val="auto"/>
        </w:rPr>
      </w:pPr>
      <w:r>
        <w:rPr>
          <w:rFonts w:ascii="Arial" w:cs="Arial" w:eastAsia="Arial" w:hAnsi="Arial"/>
          <w:sz w:val="16"/>
          <w:szCs w:val="16"/>
          <w:b w:val="1"/>
          <w:bCs w:val="1"/>
          <w:i w:val="1"/>
          <w:iCs w:val="1"/>
          <w:color w:val="auto"/>
        </w:rPr>
        <w:t>We may seek a breakthrough therapy designation for APR-246 or one or more of our other product candidates, but we might not receive such designation, and even if we do, such designation may not lead to a faster development or regulatory review or approval process.</w:t>
      </w:r>
    </w:p>
    <w:p>
      <w:pPr>
        <w:spacing w:after="0" w:line="139"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may seek a breakthrough therapy designation for APR-246 or one or more of our other product candidates. A breakthrough therapy is defined as a drug that is intended, alone or in combination with one or more other drugs, to treat a serious or life-threatening condition, and preliminary clinical evidence indicates that the drug may demonstrate substantial improvement 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if supported by clinical data at the time the NDA is submitted to the FDA, and parts of the NDA may be submitted and reviewed on a rolling basis.</w:t>
      </w:r>
    </w:p>
    <w:p>
      <w:pPr>
        <w:spacing w:after="0" w:line="172"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or regulatory review or approval process compared to drugs considered for approval under conventional FDA procedures and does not assure ultimate approval by the FDA. In addition, even if one or more of our product candidates qualify as breakthrough therapies, the FDA may later decide that the product candidates no longer meet the conditions for qualification or decide that the time period for FDA review or approval will not be shortened.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fast track designation by the FDA for APR-246 may not actually lead to a faster development or regulatory review or approval process.</w:t>
      </w:r>
    </w:p>
    <w:p>
      <w:pPr>
        <w:spacing w:after="0" w:line="248"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 xml:space="preserve">If a drug is intended, whether alone or in combination with one or more other drugs, for the treatment of a serious or life-threatening condition and nonclinical or clinical data demonstrate the potential to address unmet medical need for this condition, a drug sponsor may apply for FDA fast track designation. Although we have received a fast track designation for APR-246 for the treatment of patients with myelodysplastic syndrome having a </w:t>
      </w:r>
      <w:r>
        <w:rPr>
          <w:rFonts w:ascii="Arial" w:cs="Arial" w:eastAsia="Arial" w:hAnsi="Arial"/>
          <w:sz w:val="16"/>
          <w:szCs w:val="16"/>
          <w:i w:val="1"/>
          <w:iCs w:val="1"/>
          <w:color w:val="auto"/>
        </w:rPr>
        <w:t>TP53</w:t>
      </w:r>
      <w:r>
        <w:rPr>
          <w:rFonts w:ascii="Arial" w:cs="Arial" w:eastAsia="Arial" w:hAnsi="Arial"/>
          <w:sz w:val="16"/>
          <w:szCs w:val="16"/>
          <w:color w:val="auto"/>
        </w:rPr>
        <w:t xml:space="preserve"> mutation, this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72"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b w:val="1"/>
          <w:bCs w:val="1"/>
          <w:i w:val="1"/>
          <w:iCs w:val="1"/>
          <w:color w:val="auto"/>
        </w:rPr>
        <w:t>We may seek priority review designation for APR-246 or one or more of our other product candidates, but we might not receive such designation, and even if we do, such designation may not lead to a faster development or regulatory review or approval process.</w:t>
      </w:r>
    </w:p>
    <w:p>
      <w:pPr>
        <w:spacing w:after="0" w:line="139"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from the 60-day filing date,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mean</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0" w:name="page61"/>
    <w:bookmarkEnd w:id="60"/>
    <w:p>
      <w:pPr>
        <w:ind w:right="460"/>
        <w:spacing w:after="0" w:line="332" w:lineRule="auto"/>
        <w:rPr>
          <w:sz w:val="20"/>
          <w:szCs w:val="20"/>
          <w:color w:val="auto"/>
        </w:rPr>
      </w:pPr>
      <w:r>
        <w:rPr>
          <w:rFonts w:ascii="Arial" w:cs="Arial" w:eastAsia="Arial" w:hAnsi="Arial"/>
          <w:sz w:val="16"/>
          <w:szCs w:val="16"/>
          <w:color w:val="auto"/>
        </w:rPr>
        <w:t>a faster development or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13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Our relationships with healthcare providers, physicians and third-party payors will be subject to applicable anti-kickback, fraud and abuse and other healthcare laws and regulations, which could expose us to penalties, including criminal sanctions, civil penalties, contractual damages, reputational harm and diminished profits and future earnings.</w:t>
      </w:r>
    </w:p>
    <w:p>
      <w:pPr>
        <w:spacing w:after="0" w:line="194"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Although we do not currently have any products on the market, we are subject to a variety of regulatory requirements, including healthcare statutory and regulatory requirements and enforcement by the U.S. federal and state governments and the foreign governments of the countries in which we conduct our business. Even though we are not in a position to make patient referrals and do not bill Medicare, Medicaid, or other government or commercial third-party payers, our relationships with healthcare providers, physicians and third-party payors will subject us to healthcare statutory and regulatory requirements and enforcement by the federal government and the states and foreign governments in which we conduct our business. Our future arrangements with healthcare providers, physicians and third-party payors and patients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without limitation, the following:</w:t>
      </w:r>
    </w:p>
    <w:p>
      <w:pPr>
        <w:spacing w:after="0" w:line="186" w:lineRule="exact"/>
        <w:rPr>
          <w:sz w:val="20"/>
          <w:szCs w:val="20"/>
          <w:color w:val="auto"/>
        </w:rPr>
      </w:pPr>
    </w:p>
    <w:p>
      <w:pPr>
        <w:ind w:left="1080" w:hanging="532"/>
        <w:spacing w:after="0" w:line="285"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The Federal Anti-Kickback Statute</w:t>
      </w:r>
      <w:r>
        <w:rPr>
          <w:rFonts w:ascii="Arial" w:cs="Arial" w:eastAsia="Arial" w:hAnsi="Arial"/>
          <w:sz w:val="16"/>
          <w:szCs w:val="16"/>
          <w:color w:val="auto"/>
        </w:rPr>
        <w:t>—An intent-based federal criminal statute that prohibits, among other things, any person from knowingly and</w:t>
      </w:r>
      <w:r>
        <w:rPr>
          <w:rFonts w:ascii="Arial" w:cs="Arial" w:eastAsia="Arial" w:hAnsi="Arial"/>
          <w:sz w:val="16"/>
          <w:szCs w:val="16"/>
          <w:i w:val="1"/>
          <w:iCs w:val="1"/>
          <w:color w:val="auto"/>
        </w:rPr>
        <w:t xml:space="preserve"> </w:t>
      </w:r>
      <w:r>
        <w:rPr>
          <w:rFonts w:ascii="Arial" w:cs="Arial" w:eastAsia="Arial" w:hAnsi="Arial"/>
          <w:sz w:val="16"/>
          <w:szCs w:val="16"/>
          <w:color w:val="auto"/>
        </w:rPr>
        <w:t>willfully soliciting, offering, receiving or paying remuneration, directly or indirectly, in cash or in kind, to induce or reward, or in return for, either the referral of an individual for, or the purchase, order or recommendation or arranging of, any good or service, for which payment may be made, in whole or in part, by a federal health care program, such as Medicare and Medicaid. The term "remuneration" has been broadly interpreted to include anything of value. The PPACA, among other things, amended the intent requirement of the federal Anti-Kickback Statute, so that a person or entity no longer needs to have actual knowledge of this statute or specific intent to violate it. The Anti-Kickback Statute has also been interpreted to apply to arrangements between pharmaceutical manufacturers on the one hand and individuals, such as prescribers, patients, purchasers, and formulary managers on the other the other hand. A conviction for violation of the Anti-Kickback Statute results in criminal fines and requires mandatory exclusion from participation in federal health care programs. Although there are a number of statutory exceptions and regulatory safe harbors to the federal Anti-Kickback Statute that protect certain common industry practices from prosecution, the exceptions and safe harbors are narrowly drawn, and arrangements may be subject to scrutiny or penalty if they do not fully satisfy all elements of an available exception or safe harbor. The Anti-Kickback Statute safe harbors, including the discount safe harbor, are the subject of possible regulatory reforms. Any changes to the safe harbors may impact our future contractual and other arrangements with pharmacy benefit managers, third-party payors, wholesalers and distributors, healthcare providers and prescribers, and other entities, as well as our future pricing strategies.</w:t>
      </w:r>
    </w:p>
    <w:p>
      <w:pPr>
        <w:spacing w:after="0" w:line="209" w:lineRule="exact"/>
        <w:rPr>
          <w:rFonts w:ascii="Arial" w:cs="Arial" w:eastAsia="Arial" w:hAnsi="Arial"/>
          <w:sz w:val="16"/>
          <w:szCs w:val="16"/>
          <w:color w:val="auto"/>
        </w:rPr>
      </w:pPr>
    </w:p>
    <w:p>
      <w:pPr>
        <w:ind w:left="1080" w:right="160" w:hanging="532"/>
        <w:spacing w:after="0" w:line="323" w:lineRule="auto"/>
        <w:tabs>
          <w:tab w:leader="none" w:pos="1080" w:val="left"/>
        </w:tabs>
        <w:numPr>
          <w:ilvl w:val="0"/>
          <w:numId w:val="39"/>
        </w:numPr>
        <w:rPr>
          <w:rFonts w:ascii="Arial" w:cs="Arial" w:eastAsia="Arial" w:hAnsi="Arial"/>
          <w:sz w:val="15"/>
          <w:szCs w:val="15"/>
          <w:color w:val="auto"/>
        </w:rPr>
      </w:pPr>
      <w:r>
        <w:rPr>
          <w:rFonts w:ascii="Arial" w:cs="Arial" w:eastAsia="Arial" w:hAnsi="Arial"/>
          <w:sz w:val="15"/>
          <w:szCs w:val="15"/>
          <w:i w:val="1"/>
          <w:iCs w:val="1"/>
          <w:color w:val="auto"/>
        </w:rPr>
        <w:t>The Federal Civil False Claims Act</w:t>
      </w:r>
      <w:r>
        <w:rPr>
          <w:rFonts w:ascii="Arial" w:cs="Arial" w:eastAsia="Arial" w:hAnsi="Arial"/>
          <w:sz w:val="15"/>
          <w:szCs w:val="15"/>
          <w:color w:val="auto"/>
        </w:rPr>
        <w:t>—Imposes civil penalties, including through civil whistleblower or</w:t>
      </w:r>
      <w:r>
        <w:rPr>
          <w:rFonts w:ascii="Arial" w:cs="Arial" w:eastAsia="Arial" w:hAnsi="Arial"/>
          <w:sz w:val="15"/>
          <w:szCs w:val="15"/>
          <w:i w:val="1"/>
          <w:iCs w:val="1"/>
          <w:color w:val="auto"/>
        </w:rPr>
        <w:t xml:space="preserve"> qui tam </w:t>
      </w:r>
      <w:r>
        <w:rPr>
          <w:rFonts w:ascii="Arial" w:cs="Arial" w:eastAsia="Arial" w:hAnsi="Arial"/>
          <w:sz w:val="15"/>
          <w:szCs w:val="15"/>
          <w:color w:val="auto"/>
        </w:rPr>
        <w:t>actions, against individuals or</w:t>
      </w:r>
      <w:r>
        <w:rPr>
          <w:rFonts w:ascii="Arial" w:cs="Arial" w:eastAsia="Arial" w:hAnsi="Arial"/>
          <w:sz w:val="15"/>
          <w:szCs w:val="15"/>
          <w:i w:val="1"/>
          <w:iCs w:val="1"/>
          <w:color w:val="auto"/>
        </w:rPr>
        <w:t xml:space="preserve"> </w:t>
      </w:r>
      <w:r>
        <w:rPr>
          <w:rFonts w:ascii="Arial" w:cs="Arial" w:eastAsia="Arial" w:hAnsi="Arial"/>
          <w:sz w:val="15"/>
          <w:szCs w:val="15"/>
          <w:color w:val="auto"/>
        </w:rPr>
        <w:t>entities for, among other things, knowingly presenting, or causing to be presented, false or fraudulent claims for payment by a federal healthcare program or knowingly making using or causing to be made or used a false statement or record material to payment of a false claim or avoiding, decreasing or concealing an obligation to pay money to the federal government, with potential liability including mandatory treble damages</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1" w:name="page62"/>
    <w:bookmarkEnd w:id="61"/>
    <w:p>
      <w:pPr>
        <w:ind w:left="540"/>
        <w:spacing w:after="0" w:line="286" w:lineRule="auto"/>
        <w:rPr>
          <w:sz w:val="20"/>
          <w:szCs w:val="20"/>
          <w:color w:val="auto"/>
        </w:rPr>
      </w:pPr>
      <w:r>
        <w:rPr>
          <w:rFonts w:ascii="Arial" w:cs="Arial" w:eastAsia="Arial" w:hAnsi="Arial"/>
          <w:sz w:val="16"/>
          <w:szCs w:val="16"/>
          <w:color w:val="auto"/>
        </w:rPr>
        <w:t>and significant per-claim penalties, currently set at $11,181 to $22,363 per false claim or statement for penalties assessed after January 29, 2018, with respect to violations occurring after November 2, 2015. Among other reasons, pharmaceutical companies have been investigated and/or subject to government enforcement actions asserting liability under the federal civil False Claims Act in connection with their alleged off-label promotion of drugs, purportedly concealing price concessions in the pricing information submitted to the government for government price reporting purposes (e.g., under the Medicaid Drug Rebate Program), and allegedly providing free product to customers with the expectation that the customers would bill federal health care programs for the product. In addition, the government may assert that a claim including items or services resulting from a violation of the federal Anti-Kickback Statute constitutes a false or fraudulent claim for purposes of the federal False Claims Act. As a result of a modification made by the Fraud Enforcement and Recovery Act of 2009, a claim includes "any request or demand" for money or property presented to the U.S. government. In addition, manufacturers can be held liable under the federal False Claims Act even when they do not submit claims directly to government payors if they are deemed to "cause" the submission of false or fraudulent claims. Criminal prosecution is also possible for making or presenting a false, fictitious or fraudulent claim to the federal government.</w:t>
      </w:r>
    </w:p>
    <w:p>
      <w:pPr>
        <w:spacing w:after="0" w:line="195" w:lineRule="exact"/>
        <w:rPr>
          <w:sz w:val="20"/>
          <w:szCs w:val="20"/>
          <w:color w:val="auto"/>
        </w:rPr>
      </w:pPr>
    </w:p>
    <w:p>
      <w:pPr>
        <w:ind w:left="540" w:right="60" w:hanging="532"/>
        <w:spacing w:after="0" w:line="256"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The Federal Criminal Statute on False Statements Relating to Health Care Matters</w:t>
      </w:r>
      <w:r>
        <w:rPr>
          <w:rFonts w:ascii="Arial" w:cs="Arial" w:eastAsia="Arial" w:hAnsi="Arial"/>
          <w:sz w:val="18"/>
          <w:szCs w:val="18"/>
          <w:color w:val="auto"/>
        </w:rPr>
        <w:t>—Makes it a crime to knowingly and willfully falsify, conceal,</w:t>
      </w:r>
      <w:r>
        <w:rPr>
          <w:rFonts w:ascii="Arial" w:cs="Arial" w:eastAsia="Arial" w:hAnsi="Arial"/>
          <w:sz w:val="18"/>
          <w:szCs w:val="18"/>
          <w:i w:val="1"/>
          <w:iCs w:val="1"/>
          <w:color w:val="auto"/>
        </w:rPr>
        <w:t xml:space="preserve"> </w:t>
      </w:r>
      <w:r>
        <w:rPr>
          <w:rFonts w:ascii="Arial" w:cs="Arial" w:eastAsia="Arial" w:hAnsi="Arial"/>
          <w:sz w:val="18"/>
          <w:szCs w:val="18"/>
          <w:color w:val="auto"/>
        </w:rPr>
        <w:t>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federally funded healthcare benefits, items, or services.</w:t>
      </w:r>
    </w:p>
    <w:p>
      <w:pPr>
        <w:spacing w:after="0" w:line="224" w:lineRule="exact"/>
        <w:rPr>
          <w:rFonts w:ascii="Arial" w:cs="Arial" w:eastAsia="Arial" w:hAnsi="Arial"/>
          <w:sz w:val="18"/>
          <w:szCs w:val="18"/>
          <w:color w:val="auto"/>
        </w:rPr>
      </w:pPr>
    </w:p>
    <w:p>
      <w:pPr>
        <w:ind w:left="540" w:right="40" w:hanging="532"/>
        <w:spacing w:after="0" w:line="298" w:lineRule="auto"/>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HIPAA Criminal Federal Health Care Fraud Statute</w:t>
      </w:r>
      <w:r>
        <w:rPr>
          <w:rFonts w:ascii="Arial" w:cs="Arial" w:eastAsia="Arial" w:hAnsi="Arial"/>
          <w:sz w:val="16"/>
          <w:szCs w:val="16"/>
          <w:color w:val="auto"/>
        </w:rPr>
        <w:t>—Enacted as part of the Health Insurance Portability and Accountability Act of 1996, makes</w:t>
      </w:r>
      <w:r>
        <w:rPr>
          <w:rFonts w:ascii="Arial" w:cs="Arial" w:eastAsia="Arial" w:hAnsi="Arial"/>
          <w:sz w:val="16"/>
          <w:szCs w:val="16"/>
          <w:i w:val="1"/>
          <w:iCs w:val="1"/>
          <w:color w:val="auto"/>
        </w:rPr>
        <w:t xml:space="preserve"> </w:t>
      </w:r>
      <w:r>
        <w:rPr>
          <w:rFonts w:ascii="Arial" w:cs="Arial" w:eastAsia="Arial" w:hAnsi="Arial"/>
          <w:sz w:val="16"/>
          <w:szCs w:val="16"/>
          <w:color w:val="auto"/>
        </w:rPr>
        <w:t>it a crime to knowingly and willfully falsify, conceal, 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federally funded healthcare benefits, items, or services.</w:t>
      </w:r>
    </w:p>
    <w:p>
      <w:pPr>
        <w:spacing w:after="0" w:line="180" w:lineRule="exact"/>
        <w:rPr>
          <w:rFonts w:ascii="Arial" w:cs="Arial" w:eastAsia="Arial" w:hAnsi="Arial"/>
          <w:sz w:val="16"/>
          <w:szCs w:val="16"/>
          <w:color w:val="auto"/>
        </w:rPr>
      </w:pPr>
    </w:p>
    <w:p>
      <w:pPr>
        <w:ind w:left="540" w:right="140" w:hanging="532"/>
        <w:spacing w:after="0" w:line="283" w:lineRule="auto"/>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The Federal Civil Monetary Penalties Law</w:t>
      </w:r>
      <w:r>
        <w:rPr>
          <w:rFonts w:ascii="Arial" w:cs="Arial" w:eastAsia="Arial" w:hAnsi="Arial"/>
          <w:sz w:val="16"/>
          <w:szCs w:val="16"/>
          <w:color w:val="auto"/>
        </w:rPr>
        <w:t>—Authorizes the imposition of substantial civil monetary penalties against an entity, such as a</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 manufacturer,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healthcare programs to provide items or services reimbursable by a federal healthcare program;</w:t>
      </w:r>
    </w:p>
    <w:p>
      <w:pPr>
        <w:spacing w:after="0" w:line="2"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(3) violations of the federal Anti-Kickback Statute; or (4) failing to report and return a known overpayment.</w:t>
      </w:r>
    </w:p>
    <w:p>
      <w:pPr>
        <w:spacing w:after="0" w:line="232" w:lineRule="exact"/>
        <w:rPr>
          <w:rFonts w:ascii="Arial" w:cs="Arial" w:eastAsia="Arial" w:hAnsi="Arial"/>
          <w:sz w:val="16"/>
          <w:szCs w:val="16"/>
          <w:color w:val="auto"/>
        </w:rPr>
      </w:pPr>
    </w:p>
    <w:p>
      <w:pPr>
        <w:ind w:left="540" w:right="160" w:hanging="532"/>
        <w:spacing w:after="0" w:line="289" w:lineRule="auto"/>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HIPAA Health Information Privacy and Security</w:t>
      </w:r>
      <w:r>
        <w:rPr>
          <w:rFonts w:ascii="Arial" w:cs="Arial" w:eastAsia="Arial" w:hAnsi="Arial"/>
          <w:sz w:val="16"/>
          <w:szCs w:val="16"/>
          <w:color w:val="auto"/>
        </w:rPr>
        <w:t>—The Health Insurance Portability and Accountability Act of 1996, as amended by the Health</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Technology for Economic and Clinical Health Act of 2009, or HITECH, and its implementing regulations, or collectively, HIPAA, imposes privacy, security, and breach reporting obligations on certain covered entity healthcare providers, health plans, and healthcare clearinghouse as well as their business associates that perform certain services involving the use or disclosure of individually identifiable health information, including, among other requirements, mandatory contractual terms and technical safeguards to protect the privacy, security and transmission of individually identifiable health information, and require notification to affected individuals and regulatory authorities of certain breaches of security of individually identifiable health information. HITECH also created new tiers of civil monetary penalties, amended HIPAA to make civil and criminal penalties</w:t>
      </w:r>
    </w:p>
    <w:p>
      <w:pPr>
        <w:spacing w:after="0" w:line="17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62" w:name="page63"/>
    <w:bookmarkEnd w:id="62"/>
    <w:p>
      <w:pPr>
        <w:ind w:left="1080"/>
        <w:spacing w:after="0"/>
        <w:rPr>
          <w:sz w:val="20"/>
          <w:szCs w:val="20"/>
          <w:color w:val="auto"/>
        </w:rPr>
      </w:pPr>
      <w:r>
        <w:rPr>
          <w:rFonts w:ascii="Arial" w:cs="Arial" w:eastAsia="Arial" w:hAnsi="Arial"/>
          <w:sz w:val="16"/>
          <w:szCs w:val="16"/>
          <w:color w:val="auto"/>
        </w:rPr>
        <w:t>directly applicable to business associates, and gave state attorneys general new authority to file civil actions for damages or injunctions in U.S.</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federal courts to enforce the federal HIPAA laws and seek attorneys' fees and costs associated with pursuing federal civil actions.</w:t>
      </w:r>
    </w:p>
    <w:p>
      <w:pPr>
        <w:spacing w:after="0" w:line="232" w:lineRule="exact"/>
        <w:rPr>
          <w:sz w:val="20"/>
          <w:szCs w:val="20"/>
          <w:color w:val="auto"/>
        </w:rPr>
      </w:pPr>
    </w:p>
    <w:p>
      <w:pPr>
        <w:ind w:left="1080" w:hanging="532"/>
        <w:spacing w:after="0" w:line="254"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The Federal Physician Payments Sunshine Act</w:t>
      </w:r>
      <w:r>
        <w:rPr>
          <w:rFonts w:ascii="Arial" w:cs="Arial" w:eastAsia="Arial" w:hAnsi="Arial"/>
          <w:sz w:val="18"/>
          <w:szCs w:val="18"/>
          <w:color w:val="auto"/>
        </w:rPr>
        <w:t>—Requires "applicable manufacturers" of drugs, devices, biologics, and medical supplies for which</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is available under Medicare, Medicaid or the State Children's Health Insurance Program, among others, to track and report annually to the federal government (for disclosure to the public) certain payments and other transfers of value they make to "covered recipients." The term covered recipients includes physicians, teaching hospitals, and, for reports submitted on or after January 1, 2022, physician assistants, nurse practitioners, clinical nurse specialists, certified nurse anesthetists, and certified nurse midwives. Failure to submit required information may result in civil monetary penalties.</w:t>
      </w:r>
    </w:p>
    <w:p>
      <w:pPr>
        <w:spacing w:after="0" w:line="225"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The Federal Food, Drug, and Cosmetic Act</w:t>
      </w:r>
      <w:r>
        <w:rPr>
          <w:rFonts w:ascii="Arial" w:cs="Arial" w:eastAsia="Arial" w:hAnsi="Arial"/>
          <w:sz w:val="18"/>
          <w:szCs w:val="18"/>
          <w:color w:val="auto"/>
        </w:rPr>
        <w:t>—Prohibits, among other things, the adulteration or misbranding of drugs, biologics and medical</w:t>
      </w:r>
      <w:r>
        <w:rPr>
          <w:rFonts w:ascii="Arial" w:cs="Arial" w:eastAsia="Arial" w:hAnsi="Arial"/>
          <w:sz w:val="18"/>
          <w:szCs w:val="18"/>
          <w:i w:val="1"/>
          <w:iCs w:val="1"/>
          <w:color w:val="auto"/>
        </w:rPr>
        <w:t xml:space="preserve"> </w:t>
      </w:r>
      <w:r>
        <w:rPr>
          <w:rFonts w:ascii="Arial" w:cs="Arial" w:eastAsia="Arial" w:hAnsi="Arial"/>
          <w:sz w:val="18"/>
          <w:szCs w:val="18"/>
          <w:color w:val="auto"/>
        </w:rPr>
        <w:t>devices.</w:t>
      </w:r>
    </w:p>
    <w:p>
      <w:pPr>
        <w:spacing w:after="0" w:line="199" w:lineRule="exact"/>
        <w:rPr>
          <w:rFonts w:ascii="Arial" w:cs="Arial" w:eastAsia="Arial" w:hAnsi="Arial"/>
          <w:sz w:val="18"/>
          <w:szCs w:val="18"/>
          <w:color w:val="auto"/>
        </w:rPr>
      </w:pPr>
    </w:p>
    <w:p>
      <w:pPr>
        <w:ind w:left="1080" w:right="60" w:hanging="532"/>
        <w:spacing w:after="0" w:line="288"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Analogous State and Foreign Laws</w:t>
      </w:r>
      <w:r>
        <w:rPr>
          <w:rFonts w:ascii="Arial" w:cs="Arial" w:eastAsia="Arial" w:hAnsi="Arial"/>
          <w:sz w:val="16"/>
          <w:szCs w:val="16"/>
          <w:color w:val="auto"/>
        </w:rPr>
        <w:t>—There are state and foreign law equivalents of the above federal laws, such as the Anti-Kickback Statute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False Claims Act, which may apply to items or services reimbursed by any third-party payor, including commercial insurers (i.e., so-called "all-payor anti-kickback laws"). Similarly, there are state and foreign laws that govern the privacy and security of health information, biometric information or more general personally identifiable information, including state health information privacy laws, data breach notification laws, marketing privacy laws, and certain comprehensive privacy legislation such as the new California Consumer Privacy Act which govern the collection, use, disclosure, and protection of health-related and other personal information, many of which differ from each other in significant ways and, with respect to state laws, are often not pre-empted by HIPAA, or govern data that we may have that is outside the scope of HIPAA, thus requiring additional compliance efforts. These privacy and data protection laws are also evolving, requiring continual evaluation and investment in compliance programs.</w:t>
      </w:r>
    </w:p>
    <w:p>
      <w:pPr>
        <w:spacing w:after="0" w:line="187" w:lineRule="exact"/>
        <w:rPr>
          <w:rFonts w:ascii="Arial" w:cs="Arial" w:eastAsia="Arial" w:hAnsi="Arial"/>
          <w:sz w:val="16"/>
          <w:szCs w:val="16"/>
          <w:color w:val="auto"/>
        </w:rPr>
      </w:pPr>
    </w:p>
    <w:p>
      <w:pPr>
        <w:ind w:left="1080" w:hanging="532"/>
        <w:spacing w:after="0" w:line="286"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State and Foreign Laws Regulating Pharmaceutical Manufacturer Compliance Programs and Other Practices</w:t>
      </w:r>
      <w:r>
        <w:rPr>
          <w:rFonts w:ascii="Arial" w:cs="Arial" w:eastAsia="Arial" w:hAnsi="Arial"/>
          <w:sz w:val="16"/>
          <w:szCs w:val="16"/>
          <w:color w:val="auto"/>
        </w:rPr>
        <w:t>—Some state and foreign laws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 pharmaceutical companies to implement compliance programs, comply with the pharmaceutical industry's voluntary compliance guidelines and the relevant compliance guidance promulgated by the federal government, or to track and report gifts, compensation, or other remuneration to physicians and other healthcare providers. Several U.S. states and localities have enacted legislation requiring pharmaceutical companies to establish marketing compliance programs, file periodic reports, and/or make periodic public disclosures on sales, marketing, pricing, clinical trials, and other activities. Other state laws prohibit certain marketing-related activities including the provision of gifts, meals or other items to certain healthcare providers, and restrict the ability of manufacturers to offer co-pay support to patients for certain prescription drugs. In addition, several recently passed state laws require disclosures related to state agencies and/or commercial purchasers with respect to certain price increases that exceed a certain level as identified in the relevant statutes. Some of these laws and regulations contain ambiguous requirements that government officials have not yet clarified. Given the lack of clarity in the laws and their implementation, our reporting actions could be subject to the penalty provisions of the pertinent federal and state laws and regulations.</w:t>
      </w:r>
    </w:p>
    <w:p>
      <w:pPr>
        <w:spacing w:after="0" w:line="18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guidance, case law or other applicable law. If our operations are found to be in violation of any of these laws or any other governmental regulations that may apply to us, we may be subject to significant civil, criminal and administrative penalties, damages, fines, individual imprisonment, exclusion from</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ind w:right="20"/>
        <w:spacing w:after="0" w:line="289" w:lineRule="auto"/>
        <w:rPr>
          <w:sz w:val="20"/>
          <w:szCs w:val="20"/>
          <w:color w:val="auto"/>
        </w:rPr>
      </w:pPr>
      <w:r>
        <w:rPr>
          <w:rFonts w:ascii="Arial" w:cs="Arial" w:eastAsia="Arial" w:hAnsi="Arial"/>
          <w:sz w:val="16"/>
          <w:szCs w:val="16"/>
          <w:color w:val="auto"/>
        </w:rPr>
        <w:t>participation in federal health care programs, such as Medicare and Medicaid, disgorgement, reputational harm, additional oversight and reporting obligations pursuant to a corporate integrity agreement or similar agreement to resolve allegations of non-compliance with applicable laws and regulations, and the curtailment or restructuring of our operations, any of which could adversely affect our ability to market our products, if approved, and adversely impact our financial results. Although effective compliance programs can mitigate the risk of investigation and prosecution for violations of these laws and regulations,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not to be in compliance with applicable laws, it may be costly to us in terms of money, time and resources, and they may be subject to criminal, civil or administrative sanctions, including exclusions from government-funded healthcare programs.</w:t>
      </w:r>
    </w:p>
    <w:p>
      <w:pPr>
        <w:spacing w:after="0" w:line="17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which could cause significant liability for us and harm our reputation.</w:t>
      </w:r>
    </w:p>
    <w:p>
      <w:pPr>
        <w:spacing w:after="0" w:line="186"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are exposed to the risk of employee fraud or other misconduct, including intentional failures to comply with FDA regulations or similar regulations of comparable foreign regulatory authorities, provide accurate information to the FDA or comparable foreign regulatory authorities, comply with manufacturing standards we may establish, comply with federal and state healthcare fraud and abuse laws and regulations and similar laws and regulations established and enforced by comparable foreign regulatory authorities,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incentive programs and other business arrangements. Employee misconduct could also involve the improper use of information obtained in the course of clinical trials, which could result in regulatory sanctions and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7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186"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4"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ind w:right="80"/>
        <w:spacing w:after="0" w:line="332" w:lineRule="auto"/>
        <w:rPr>
          <w:sz w:val="20"/>
          <w:szCs w:val="20"/>
          <w:color w:val="auto"/>
        </w:rPr>
      </w:pPr>
      <w:r>
        <w:rPr>
          <w:rFonts w:ascii="Arial" w:cs="Arial" w:eastAsia="Arial" w:hAnsi="Arial"/>
          <w:sz w:val="16"/>
          <w:szCs w:val="16"/>
          <w:color w:val="auto"/>
        </w:rPr>
        <w:t>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39"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94"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Laws and regulations governing any international operations we may have in the future may preclude us from developing, manufacturing and selling certain product candidates outside of the United States and require us to develop and implement costly compliance programs.</w:t>
      </w:r>
    </w:p>
    <w:p>
      <w:pPr>
        <w:spacing w:after="0" w:line="139" w:lineRule="exact"/>
        <w:rPr>
          <w:sz w:val="20"/>
          <w:szCs w:val="20"/>
          <w:color w:val="auto"/>
        </w:rPr>
      </w:pPr>
    </w:p>
    <w:p>
      <w:pPr>
        <w:ind w:right="440" w:firstLine="351"/>
        <w:spacing w:after="0" w:line="306" w:lineRule="auto"/>
        <w:rPr>
          <w:sz w:val="20"/>
          <w:szCs w:val="20"/>
          <w:color w:val="auto"/>
        </w:rPr>
      </w:pPr>
      <w:r>
        <w:rPr>
          <w:rFonts w:ascii="Arial" w:cs="Arial" w:eastAsia="Arial" w:hAnsi="Arial"/>
          <w:sz w:val="16"/>
          <w:szCs w:val="16"/>
          <w:color w:val="auto"/>
        </w:rPr>
        <w:t>If we expand our operations outside of the United States, we must comply with numerous laws and regulations in each jurisdiction in which we plan to operate, such as the applicable anti-bribery, anti-corruption, anti-money laundering regulations. The creation and implementation of international business practices compliance programs is costly and such programs are difficult to enforce, particularly where reliance on third parties is required.</w:t>
      </w:r>
    </w:p>
    <w:p>
      <w:pPr>
        <w:spacing w:after="0" w:line="161"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DOJ. The Securities and Exchange Commission, or SEC, is involved with enforcement of the books and records provisions of the FCPA.</w:t>
      </w:r>
    </w:p>
    <w:p>
      <w:pPr>
        <w:spacing w:after="0" w:line="172"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97"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Violation of the FCPA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170"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We are also subject to other laws and regulations governing our international operations, including applicable import and export control regulations, economic sanctions on countries and persons administered or enforced by the U.S. government (including, without limitation, the Office of Foreign Assets Control of the U.S. Department of the Treasury), anti-money laundering laws, customs requirements and currency exchange regulations, collectively referred to as the trade control laws. We can provide no assurance that we will be completely effective in ensuring our compliance with all applicable legal requirements, including trade control laws. If we are not in compliance with applicable trade control laws, we may be subject to criminal and civil penalties, disgorgement and other sanctions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ind w:right="660"/>
        <w:spacing w:after="0" w:line="259" w:lineRule="auto"/>
        <w:rPr>
          <w:sz w:val="20"/>
          <w:szCs w:val="20"/>
          <w:color w:val="auto"/>
        </w:rPr>
      </w:pPr>
      <w:r>
        <w:rPr>
          <w:rFonts w:ascii="Arial" w:cs="Arial" w:eastAsia="Arial" w:hAnsi="Arial"/>
          <w:sz w:val="18"/>
          <w:szCs w:val="18"/>
          <w:color w:val="auto"/>
        </w:rPr>
        <w:t>and remedial measures, and legal expenses, which could have an adverse impact on our business, results of operations, financial condition and prospects. Likewise, any investigation of any potential violations of these trade control laws by U.S. or other authorities could also have an adverse impact on our reputation, our business, results of operations, financial condition and prospects.</w:t>
      </w:r>
    </w:p>
    <w:p>
      <w:pPr>
        <w:spacing w:after="0" w:line="194" w:lineRule="exact"/>
        <w:rPr>
          <w:sz w:val="20"/>
          <w:szCs w:val="20"/>
          <w:color w:val="auto"/>
        </w:rPr>
      </w:pPr>
    </w:p>
    <w:p>
      <w:pPr>
        <w:ind w:right="180" w:firstLine="348"/>
        <w:spacing w:after="0" w:line="254"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drugs and product candidates outside of the United States, which could limit our growth potential and increase our development costs. The failure to comply with laws governing international business practices may result in substantial penalties, including suspension or debarment from government contracting.</w:t>
      </w:r>
    </w:p>
    <w:p>
      <w:pPr>
        <w:spacing w:after="0" w:line="19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Security breaches, loss of data and other disruptions could compromise sensitive information related to our business or prevent us from accessing critical information and expose us to liability, which could adversely affect our business and our reputation.</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the ordinary course of our business, we collect and store sensitive data, including personally identifiable information, intellectual property and proprietary business information owned or controlled by ourselves and other parties. We manage and maintain our applications and data utilizing a combination of on-site systems, managed data centers and cloud-based data centers. We utilize external security and infrastructure vendors to manage our information technology systems and data centers. These applications and data encompass a wide variety of business-critical information, including research and development information, commercial information, and business and financial information. We face a number of risks relative to protecting this critical information, including loss of access risk, inappropriate use or disclosure, inappropriate modification, and the risk of our being unable to adequately monitor, audit and modify our controls over our critical information. This risk extends to the third-party vendors and subcontractors we use to manage this sensitive data.</w:t>
      </w:r>
    </w:p>
    <w:p>
      <w:pPr>
        <w:spacing w:after="0" w:line="172"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secure processing, storage, maintenance and transmission of this critical information are vital to our operations and business strategy. Although we take measures to protect sensitive data from unauthorized access, use or disclosure, and are in the process of developing policies and procedures to protect our information technology systems and confidential and proprietary information, we do not currently have any such policies and procedures formally in place and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Health Insurance Portability and Accountability Act of 1996, or HIPAA, the Health Information Technology for Economic and Clinical Health Act, or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 Although we have implemented security measures and are in the process of implementing formal, dedicated enterprise policies and procedures to prevent unauthorized access to patient data, we do not currently have any such policies and procedures formally in place and there is no guarantee we can protect our data from breach. Unauthorized access, loss or dissemination could also damage our reputation or disrupt our operations, including our ability to conduct our analyses, process claims and appeals, conduct research and development activities, collect, process and prepare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ind w:right="460"/>
        <w:spacing w:after="0" w:line="268" w:lineRule="auto"/>
        <w:rPr>
          <w:sz w:val="20"/>
          <w:szCs w:val="20"/>
          <w:color w:val="auto"/>
        </w:rPr>
      </w:pPr>
      <w:r>
        <w:rPr>
          <w:rFonts w:ascii="Arial" w:cs="Arial" w:eastAsia="Arial" w:hAnsi="Arial"/>
          <w:sz w:val="18"/>
          <w:szCs w:val="18"/>
          <w:color w:val="auto"/>
        </w:rPr>
        <w:t>company financial information, provide information about our tests and other patient and physician education and outreach efforts through our website, and manage the administrative aspects of our business.</w:t>
      </w:r>
    </w:p>
    <w:p>
      <w:pPr>
        <w:spacing w:after="0" w:line="186"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Penalties for violations of these laws vary. For instance, penalties for failure to comply with a requirement of HIPAA and HITECH vary significantly, and include civil monetary penalties of up to $55,910 per violation, not to exceed approximately $1.68 million per calendar year for each provision of HIPAA that is violated and, in certain circumstances, criminal penalties with fines up to $250,000 per violation and/or imprisonment. However, a single breach incident can result in multiple violations, which can lead to significant financial penalties. In addition, numerous breach incidents could lead to possible penalties in excess of $1.68 million.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w:t>
      </w:r>
    </w:p>
    <w:p>
      <w:pPr>
        <w:spacing w:after="0" w:line="172"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Further,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These laws and regulations are not necessarily preempted by HIPAA, particularly if a state affords greater protection to individuals than HIPAA. Where state laws are more protective, we have to comply with the stricter provisions.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 The interplay of federal and state laws may be subject to varying interpretations by courts and government agencies, creating complex compliance issues for us and data we receive, use and share,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w:t>
      </w:r>
    </w:p>
    <w:p>
      <w:pPr>
        <w:spacing w:after="0" w:line="17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Compliance with U.S. and international data protection laws and regulations could cause us to incur substantial costs or require us to change our business practices and compliance procedures in a manner adverse to our business. Moreover, complying with these various laws could require us to take on more onerous obligations in our contracts, restrict our ability to collect, use and disclose data, or in some cases, impact our ability to operate in certain jurisdictions. We do not currently have formal policies and procedures in place, and have not conducted any internal or external audits, to ensure our compliance with all applicable data protection laws and regulations. Additionally, we do not currently have policies and procedures in place for assessing our third-party vendors' compliance with applicable data protection laws and regulations. Failure by us or by our third-party vendors to comply with U.S. and international data protection laws and regulations could result in government enforcement actions (which could include civil or criminal penalties), private litigation and/or adverse publicity and could negatively affect our operating results and business. Claims that we or our third-party vendors have violated individuals' privacy rights, failed to comply with data protection laws, or breached our contractual obligations, even if we or our third-party vendor, as applicable, are not found liable, could be expensive and time consuming to defend and could result in adverse publicity that could harm our business.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7" w:name="page68"/>
    <w:bookmarkEnd w:id="67"/>
    <w:p>
      <w:pPr>
        <w:ind w:right="160"/>
        <w:spacing w:after="0" w:line="268" w:lineRule="auto"/>
        <w:rPr>
          <w:sz w:val="20"/>
          <w:szCs w:val="20"/>
          <w:color w:val="auto"/>
        </w:rPr>
      </w:pPr>
      <w:r>
        <w:rPr>
          <w:rFonts w:ascii="Arial" w:cs="Arial" w:eastAsia="Arial" w:hAnsi="Arial"/>
          <w:sz w:val="18"/>
          <w:szCs w:val="18"/>
          <w:b w:val="1"/>
          <w:bCs w:val="1"/>
          <w:i w:val="1"/>
          <w:iCs w:val="1"/>
          <w:color w:val="auto"/>
        </w:rPr>
        <w:t>Any clinical trial programs we conduct or research collaborations we enter into in the European Economic Area ("EEA") may subject us to European data protection laws including, the EU General Data Protection Regulation 2016/679 ("GDPR").</w:t>
      </w:r>
    </w:p>
    <w:p>
      <w:pPr>
        <w:spacing w:after="0" w:line="186"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We are subject to the GDPR, which applies extra-territorially and implements stringent operational requirements on controllers (e.g., sponsors) and processors (e.g., CROs, laboratories) of personal data, including, for example, high standards for obtaining valid consent from individuals to process their personal data (where consent is the legal ground relied upon), the requirements to provide detailed disclosures to individuals, restrictions on transfers of personal data from the EEA, short timelines for personal data breach notifications to data protection authorities, limitations on retention of personal data, additional considerations where processing health data and other "special categories of personal data" and specific obligations where third-party processors are engaged. Further, the GDPR provides that EU Member States may establish their own laws and regulations further restricting the processing of genetic data, biometric data, health data and other personal data, which could limit our ability to use and share such personal data or could cause our costs to increase. The GDPR imposes onerous accountability obligations requiring data controllers and processors to maintain a record of their data processing and policies. We do not currently have any formal data privacy policies and procedures in place and have not completed an assessment of whether we are in compliance with the GDPR. The GDPR also grants certain privacy rights to individuals (e.g., the right to access or erase their personal data). If our or our vendors' or service providers' privacy or data security measures fail to comply with the GDPR requirements, we may be subject to litigation, regulatory investigations, enforcement notices requiring us to change the way we use personal data and/or fines of up to 20 million Euros or up to 4% of the total worldwide annual turnover of the preceding financial year, whichever is higher, as well as compensation claims for financial or non-financial loss by affected individuals, negative publicity, reputational harm and a potential loss of business and goodwill. It is possible that these laws may be interpreted and applied in a manner that is inconsistent with our practices. If so, this could result in government-imposed fines or orders requiring that we change our practices, which could adversely affect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31"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b w:val="1"/>
          <w:bCs w:val="1"/>
          <w:i w:val="1"/>
          <w:iCs w:val="1"/>
          <w:color w:val="auto"/>
        </w:rPr>
        <w:t>Our future success depends on our ability to retain our President and Chief Executive Officer, our Senior Vice President and Chief Scientific Officer, Chief Medical Officer, Vice President of Business Development and other key executives and to attract, retain and motivate qualified personnel.</w:t>
      </w:r>
    </w:p>
    <w:p>
      <w:pPr>
        <w:spacing w:after="0" w:line="116" w:lineRule="exact"/>
        <w:rPr>
          <w:sz w:val="20"/>
          <w:szCs w:val="20"/>
          <w:color w:val="auto"/>
        </w:rPr>
      </w:pPr>
    </w:p>
    <w:p>
      <w:pPr>
        <w:jc w:val="both"/>
        <w:ind w:firstLine="348"/>
        <w:spacing w:after="0" w:line="303" w:lineRule="auto"/>
        <w:rPr>
          <w:sz w:val="20"/>
          <w:szCs w:val="20"/>
          <w:color w:val="auto"/>
        </w:rPr>
      </w:pPr>
      <w:r>
        <w:rPr>
          <w:rFonts w:ascii="Arial" w:cs="Arial" w:eastAsia="Arial" w:hAnsi="Arial"/>
          <w:sz w:val="15"/>
          <w:szCs w:val="15"/>
          <w:color w:val="auto"/>
        </w:rPr>
        <w:t>We are highly dependent on Christian S. Schade, our President and Chief Executive Officer, Scott M. Coiante, our Senior Vice President and Chief Financial Officer, Lars Abrahmsen, Ph.D., our Senior Vice President and Chief Scientific Officer, Eyal C. Attar, M.D., our Senior Vice President and Chief Medical Officer, and Gregory A. Korbel, Ph.D., our Vice President of Business Development, as well as the other principal members of scientific team. Our agreements with</w:t>
      </w:r>
    </w:p>
    <w:p>
      <w:pPr>
        <w:spacing w:after="0" w:line="1" w:lineRule="exact"/>
        <w:rPr>
          <w:sz w:val="20"/>
          <w:szCs w:val="20"/>
          <w:color w:val="auto"/>
        </w:rPr>
      </w:pPr>
    </w:p>
    <w:p>
      <w:pPr>
        <w:jc w:val="both"/>
        <w:ind w:right="580"/>
        <w:spacing w:after="0" w:line="255" w:lineRule="auto"/>
        <w:rPr>
          <w:sz w:val="20"/>
          <w:szCs w:val="20"/>
          <w:color w:val="auto"/>
        </w:rPr>
      </w:pPr>
      <w:r>
        <w:rPr>
          <w:rFonts w:ascii="Arial" w:cs="Arial" w:eastAsia="Arial" w:hAnsi="Arial"/>
          <w:sz w:val="18"/>
          <w:szCs w:val="18"/>
          <w:color w:val="auto"/>
        </w:rPr>
        <w:t>Mr. Schade, Mr. Coiante, Dr. Abrahmsen, Dr. Attar and Dr. Korbel do not prevent them from terminating their employment with us at any time. We do not maintain "key person" insurance for any of our executives or other employees. However, the loss of the services of any of these persons could impede the achievement of our research, development and commercialization objectives.</w:t>
      </w:r>
    </w:p>
    <w:p>
      <w:pPr>
        <w:spacing w:after="0" w:line="198"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Recruiting and retaining qualified scientific, clinical, manufacturing and sales and marketing personnel will also be critical to our success. We may not be able to attract and retain these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and may have commitments under consulting or advisory contracts with other entities that may limit their availability to us.</w:t>
      </w:r>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which could cause significant liability for us and harm our reputation.</w:t>
      </w:r>
    </w:p>
    <w:p>
      <w:pPr>
        <w:spacing w:after="0" w:line="186"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are exposed to the risk of employee fraud or other misconduct, including intentional failures to comply with FDA regulations or similar regulations of comparable foreign regulatory authorities, provide accurate information to the FDA or comparable foreign regulatory authorities, comply with manufacturing standards we may establish, comply with federal and state healthcare fraud and abuse laws and regulations and similar laws and regulations established and enforced by comparable foreign regulatory authorities,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incentive programs and other business arrangements. Employee misconduct could also involve the improper use of information obtained in the course of clinical trials, which could result in regulatory sanctions and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7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our sales and marketing capabilities, and as a result, we may encounter difficulties in managing our growth, which could disrupt our operations.</w:t>
      </w:r>
    </w:p>
    <w:p>
      <w:pPr>
        <w:spacing w:after="0" w:line="186"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drug development, clinical operations, regulatory affairs and, potentially,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Any inability to manage growth could delay the execution of our business plans or disrupt our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 matters</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have significant deferred tax assets, which may become devalued if we do not generate sufficient future taxable income, applicable corporate tax rates are reduced or if we experience an ownership change.</w:t>
      </w:r>
    </w:p>
    <w:p>
      <w:pPr>
        <w:spacing w:after="0" w:line="186"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Our total gross deferred tax assets as of December 31, 2018 were $12.8 million. Of that amount, $12.5 million relates to gross deferred tax assets in Aprea AB. Our anticipated activities are also expected to result in future significant net operating losses in the United States and Sweden resulting in additional deferred tax assets. Utilization of most deferred tax assets is dependent on generating sufficient future taxable income in the appropriate jurisdiction and/or entity. The company has provided a valuation allowance of $12.7 million on our net deferred tax assets as of December 31, 2018, based on all available evidence, it is considered more likely than not that all the recorded deferred tax assets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9" w:name="page70"/>
    <w:bookmarkEnd w:id="69"/>
    <w:p>
      <w:pPr>
        <w:ind w:right="320"/>
        <w:spacing w:after="0" w:line="259" w:lineRule="auto"/>
        <w:rPr>
          <w:sz w:val="20"/>
          <w:szCs w:val="20"/>
          <w:color w:val="auto"/>
        </w:rPr>
      </w:pPr>
      <w:r>
        <w:rPr>
          <w:rFonts w:ascii="Arial" w:cs="Arial" w:eastAsia="Arial" w:hAnsi="Arial"/>
          <w:sz w:val="18"/>
          <w:szCs w:val="18"/>
          <w:color w:val="auto"/>
        </w:rPr>
        <w:t>will not be realized in a future period. Additionally, most of our deferred tax assets are determined by reference to applicable corporate income tax rates in Sweden or the United States. Accordingly, in the event of a reduction of any such corporate income tax rates, the carrying value of certain of our deferred tax assets would decrease.</w:t>
      </w:r>
    </w:p>
    <w:p>
      <w:pPr>
        <w:spacing w:after="0" w:line="19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Moreover, our ability to use our net operating losses and other deferred tax assets to offset future taxable income in Sweden and the United States may be significantly limited if we experience an ownership change. For Swedish income tax purposes, an ownership change will generally occur when one, or several shareholders together, acquire shares representing more than 50 percent of the voting power over a five year period (under special provisions in Chapter 40 of the Swedish Income Tax Act; 1999:1229). Such an ownership change results in the forfeiture of tax losses carried forward exceeding 200 percent of the cost of the change of control. In this calculation, capital contributions to the company prior to the ownership change and in the preceding two years should reduce the cost of the change of control. Due to potential ownership changes under the Swedish Income Tax Act, we may be limited in our ability to realize a tax benefit on our deferred tax assets, whether or not we attain profitability in future years.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U.S. federal income tax purposes, an ownership change will generally occur when the percentage of our stock (by value) owned by one or more</w:t>
      </w:r>
    </w:p>
    <w:p>
      <w:pPr>
        <w:spacing w:after="0" w:line="38"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"5 percent shareholders" (as defined in the U.S. Internal Revenue Code of 1986, as amended) has increased by more than 50% over the lowest percentage owned by such shareholders at any time during the prior three years (calculated on a rolling basis). We anticipate that we will incur losses in the United States in the foreseeable future related to our research and development activities. Due to potential ownership changes under Section 382 of the Code, we may be limited in our ability to realize a tax benefit from the use of our deferred tax assets, whether or not we attain profitability in future years.</w:t>
      </w:r>
    </w:p>
    <w:p>
      <w:pPr>
        <w:spacing w:after="0" w:line="169"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 addition, our ability to utilize any future net operating losses may be limited by the recently enacted Pub. L. 115-97, commonly known as the Tax Cuts and Jobs Act of 2017 ("TCJA"). Under the TCJA, the amount of our net operating losses that we are permitted to deduct in any taxable year is limited to 80% of our taxable income in such year, where taxable income is determined without regard to the net operating loss deduction itself, while allowing unused net operating losses to be carried forward indefinitely.</w:t>
      </w:r>
    </w:p>
    <w:p>
      <w:pPr>
        <w:spacing w:after="0" w:line="197"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For these reasons, a material devaluation in our deferred tax assets due to insufficient taxable income, lower corporate income tax rates or ownership change would have an adverse effect on our results of operations and 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taxable income as a result of the purging election we will make following the Holdco Reorganization</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While not entirely clear, we intend to treat Aprea AB as having been a passive foreign investment company, or PFIC, for U.S. federal income tax purposes prior to the Holdco Reorganization and treat Aprea Therapeutics, Inc. as having succeeded to the tax basis and holding periods of those shareholders in Aprea AB that exchanged their shares for our common stock. Based on such treatment, and absent a purging election as described below, the stock of Aprea AB held by Aprea Therapeutics, Inc. would have retained its status as stock of a PFIC with respect to all periods prior to the Holdco Reorganization (the "PFIC Taint") and therefore, absent a prior election by those shareholders to treat Aprea AB as a qualified electing fund, Aprea Therapeutics, Inc., would have been subject to certain adverse U.S. federal income tax consequences with respect to distributions received on such stock and gain recognized on the disposition of such stock. In order to purge the PFIC Taint on the stock of Aprea AB, and avoid such adverse tax consequences, following the Holdco Reorganization we intend to make a purging election in the form of a deemed dividend election under which, for U.S. federal income tax purposes, Aprea AB will be deemed to have made a distribution to</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0" w:name="page71"/>
    <w:bookmarkEnd w:id="70"/>
    <w:p>
      <w:pPr>
        <w:spacing w:after="0" w:line="256" w:lineRule="auto"/>
        <w:rPr>
          <w:sz w:val="20"/>
          <w:szCs w:val="20"/>
          <w:color w:val="auto"/>
        </w:rPr>
      </w:pPr>
      <w:r>
        <w:rPr>
          <w:rFonts w:ascii="Arial" w:cs="Arial" w:eastAsia="Arial" w:hAnsi="Arial"/>
          <w:sz w:val="18"/>
          <w:szCs w:val="18"/>
          <w:color w:val="auto"/>
        </w:rPr>
        <w:t>Aprea Therapeutics, Inc. of all of its current and accumulated earnings and profits as determined for U.S. federal income tax purposes. Because we do not expect Aprea AB to have had any accumulated or current year earnings and profits, we do not expect the purging election to result in any incremental U.S. federal income taxes. We note, however, that earnings and profits are determined only at the end of the taxable year and no assurance can be given that Aprea AB will not have any earnings and profits.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current taxation on some of the income of our foreign subsidiaries even absent any cash distributions</w:t>
      </w:r>
    </w:p>
    <w:p>
      <w:pPr>
        <w:spacing w:after="0" w:line="225" w:lineRule="exact"/>
        <w:rPr>
          <w:sz w:val="20"/>
          <w:szCs w:val="20"/>
          <w:color w:val="auto"/>
        </w:rPr>
      </w:pPr>
    </w:p>
    <w:p>
      <w:pPr>
        <w:jc w:val="both"/>
        <w:ind w:right="240" w:firstLine="351"/>
        <w:spacing w:after="0" w:line="306" w:lineRule="auto"/>
        <w:rPr>
          <w:sz w:val="20"/>
          <w:szCs w:val="20"/>
          <w:color w:val="auto"/>
        </w:rPr>
      </w:pPr>
      <w:r>
        <w:rPr>
          <w:rFonts w:ascii="Arial" w:cs="Arial" w:eastAsia="Arial" w:hAnsi="Arial"/>
          <w:sz w:val="16"/>
          <w:szCs w:val="16"/>
          <w:color w:val="auto"/>
        </w:rPr>
        <w:t>Because we hold directly or indirectly all of the shares of our foreign subsidiaries, including Aprea AB, such subsidiaries are treated as controlled foreign corporations ("CFC") for U.S. federal income tax purposes. For U.S. federal income tax purposes, Aprea Therapeutics, Inc. will therefore need to include in its taxable income each year Aprea AB's "subpart F income," and "global intangible low-taxed income", if any, even if no distributions are made.</w:t>
      </w:r>
    </w:p>
    <w:p>
      <w:pPr>
        <w:spacing w:after="0" w:line="16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Our foreign subsidiaries may directly become subject to U.S. federal income tax and be subject to a branch profits tax in the United States, which could reduce our after-tax returns and the value of our shares.</w:t>
      </w:r>
    </w:p>
    <w:p>
      <w:pPr>
        <w:spacing w:after="0" w:line="186"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currently intend to conduct substantially all of our businesses and operations in a manner such that our foreign subsidiaries will not be treated as engaged in a trade or business in the United States and will not be subject to additional U.S. income tax or branch profits tax. However, it is not entirely clear when a foreign subsidiary is treated as being engaged in a trade or business in the United States for U.S. federal income tax purposes. Accordingly, we cannot assure you that the Internal Revenue Service ("IRS") will not contend, perhaps successfully, that our foreign subsidiaries were engaged in a trade or business in the United States or are subject to more U.S. income tax than they currently incur. A foreign corporation deemed to be so engaged would be subject to U.S. federal income tax, as well as branch profits tax, on its income that is treated as effectively connected with the conduct of that trade or business unless the corporation is entitled to relief under an applicable tax treaty, which is determined on an annual basis.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ongoing effects of the 2017 Tax Cuts and Jobs Act and GILTI could make our results difficult to predict.</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effective tax rate may fluctuate in the future as a result of the TCJA, which included significant enacted changes in U.S. income tax law many aspects of which are not entirely clear and with respect to which guidance is mostly available only in proposed form. The enacted tax legislation included, among other new provisions, a reduction in the corporate tax rate, new limitations on the deductibility of net interest, the base erosion and anti-abuse minimum tax and new rules related to the global intangible low-taxed income of our foreign subsidiaries ("GILTI"). GILTI may require us to include in taxable income certain income of our foreign subsidiaries that are CFCs, though we may be eligible to claim foreign tax credits with respect to some of the taxes paid by such subsidiaries. While the U.S. tax authorities issued formal guidance as well as final and proposed regulations for GILTI, there are still certain aspects of the TCJA that remain unclear. We will continue to review the impact of GILTI and the other changes resulting from the TCJA as further guidance is issued. Any further guidance may result in changes to the interpretations and assumptions we made and actions we may take, which as a result may impact the amounts recorded with respect to international provisions of the TCJA, possibly materially.</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U.S. federal income tax law and other jurisdictions could materially adversely affect an investment in our common shares.</w:t>
      </w:r>
    </w:p>
    <w:p>
      <w:pPr>
        <w:spacing w:after="0" w:line="248"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It is possible that tax laws in the United States and other jurisdictions will be changed. It remains difficult to predict whether or when there will be any tax law changes or further guidance by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authorities in the U.S. or elsewhere in the world that will have a material adverse effect on our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231"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b w:val="1"/>
          <w:bCs w:val="1"/>
          <w:i w:val="1"/>
          <w:iCs w:val="1"/>
          <w:color w:val="auto"/>
        </w:rPr>
        <w:t>After this offering, our executive officers, directors and principal stockholders will exert significant control over matters submitted to stockholders for approval. This may prevent new investors from influencing significant corporate decisions.</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Upon the completion of this offering, our executive officers and directors and our stockholders which own more than 5% of our outstanding common stock before this offering will, in the aggregate, beneficially own shares representing approximately 67.7% of our common stock, not including any shares purchased by these stockholders in this offering. As a result, if these stockholders were to choose to act together, they would be able to exert significant control over matters submitted to our stockholders for approval, as well as our management and affairs. For example, these persons, if they choose to act together, would control the election of directors and approval of any merger, consolidation or sale of all or substantially all of our assets. This concentration of voting power could delay or prevent an acquisition of our company, or other significant corporate decisions, on terms that other stockholders may desire.</w:t>
      </w:r>
    </w:p>
    <w:p>
      <w:pPr>
        <w:spacing w:after="0" w:line="17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86"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Provisions in our certificate of incorporation and our bylaws that will become effective upon the completion of this offering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88"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not all members of the board are elected at one time;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238"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38" w:lineRule="exact"/>
        <w:rPr>
          <w:rFonts w:ascii="Arial" w:cs="Arial" w:eastAsia="Arial" w:hAnsi="Arial"/>
          <w:sz w:val="18"/>
          <w:szCs w:val="18"/>
          <w:color w:val="auto"/>
        </w:rPr>
      </w:pPr>
    </w:p>
    <w:p>
      <w:pPr>
        <w:jc w:val="both"/>
        <w:ind w:left="1080" w:right="140" w:hanging="532"/>
        <w:spacing w:after="0" w:line="259"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ind w:left="1080" w:right="58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charter or bylaws.</w:t>
      </w:r>
    </w:p>
    <w:p>
      <w:pPr>
        <w:spacing w:after="0" w:line="186" w:lineRule="exact"/>
        <w:rPr>
          <w:sz w:val="20"/>
          <w:szCs w:val="20"/>
          <w:color w:val="auto"/>
        </w:rPr>
      </w:pPr>
    </w:p>
    <w:p>
      <w:pPr>
        <w:ind w:right="100" w:firstLine="351"/>
        <w:spacing w:after="0" w:line="335" w:lineRule="auto"/>
        <w:rPr>
          <w:sz w:val="20"/>
          <w:szCs w:val="20"/>
          <w:color w:val="auto"/>
        </w:rPr>
      </w:pPr>
      <w:r>
        <w:rPr>
          <w:rFonts w:ascii="Arial" w:cs="Arial" w:eastAsia="Arial" w:hAnsi="Arial"/>
          <w:sz w:val="15"/>
          <w:szCs w:val="15"/>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develop.</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for our common stock will be determined through negotiations with the underwriters. Although our common stock has been approved for listing on The Nasdaq Global Select Market, an active trading market for our shares may never develop or be sustained following this offering. If an active market for our common stock does not develop or is not sustained, it may be difficult for you to sell shares you purchase in this offering without depressing the market price for the shares, or at all.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shares of common stock in this offering, you will suffer immediate dilution of your investment.</w:t>
      </w:r>
    </w:p>
    <w:p>
      <w:pPr>
        <w:spacing w:after="0" w:line="225" w:lineRule="exact"/>
        <w:rPr>
          <w:sz w:val="20"/>
          <w:szCs w:val="20"/>
          <w:color w:val="auto"/>
        </w:rPr>
      </w:pPr>
    </w:p>
    <w:p>
      <w:pPr>
        <w:ind w:right="60" w:firstLine="348"/>
        <w:spacing w:after="0" w:line="253" w:lineRule="auto"/>
        <w:rPr>
          <w:sz w:val="20"/>
          <w:szCs w:val="20"/>
          <w:color w:val="auto"/>
        </w:rPr>
      </w:pPr>
      <w:r>
        <w:rPr>
          <w:rFonts w:ascii="Arial" w:cs="Arial" w:eastAsia="Arial" w:hAnsi="Arial"/>
          <w:sz w:val="18"/>
          <w:szCs w:val="18"/>
          <w:color w:val="auto"/>
        </w:rPr>
        <w:t>The initial public offering price of our common stock is substantially higher than the pro forma as adjusted net tangible book value per share of our common stock. Therefore, if you purchase shares of our common stock in this offering, you will pay a price per share that substantially exceeds our pro forma as adjusted net tangible book value per share after this offering. To the extent shares are issued under outstanding options, you will incur further dilution. Based on the initial public offering price of $15.00 per share, you will experience immediate dilution of $8.35 per share, representing the difference between our pro forma as adjusted net tangible book value per share after giving effect to this offering. In addition, purchasers of common stock in this offering will have contributed approximately 38% of the aggregate price paid by all purchasers of our stock but will own only approximately 29% of our common stock outstanding after this offering.</w:t>
      </w:r>
    </w:p>
    <w:p>
      <w:pPr>
        <w:spacing w:after="0" w:line="20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We do not currently have and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9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 in this offering.</w:t>
      </w:r>
    </w:p>
    <w:p>
      <w:pPr>
        <w:spacing w:after="0" w:line="186"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Our stock price is likely to be volatile. The stock market in general and the market for pharmaceutical and biotechnology companies in particular have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224" w:lineRule="exact"/>
        <w:rPr>
          <w:sz w:val="20"/>
          <w:szCs w:val="20"/>
          <w:color w:val="auto"/>
        </w:rPr>
      </w:pPr>
    </w:p>
    <w:p>
      <w:pPr>
        <w:ind w:left="5620" w:right="3880" w:hanging="5072"/>
        <w:spacing w:after="0" w:line="519" w:lineRule="auto"/>
        <w:tabs>
          <w:tab w:leader="none" w:pos="108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timing and results of clinical trials of APR-246 and any of our other product candidates;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73" w:name="page74"/>
    <w:bookmarkEnd w:id="73"/>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products and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partnerships, joint ventures, collaborations or capital commitments;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establishment or termination of collaborations for our product candidates or development programs;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development programs;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 or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or development timelines;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our resources, which could harm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225" w:lineRule="exact"/>
        <w:rPr>
          <w:sz w:val="20"/>
          <w:szCs w:val="20"/>
          <w:color w:val="auto"/>
        </w:rPr>
      </w:pPr>
    </w:p>
    <w:p>
      <w:pPr>
        <w:ind w:right="380" w:firstLine="351"/>
        <w:spacing w:after="0" w:line="256"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could spend the proceeds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5" w:right="31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Pending their use, we may invest the net proceeds from this offering in a manner that does not produce income or that loses value.</w:t>
      </w:r>
    </w:p>
    <w:p>
      <w:pPr>
        <w:spacing w:after="0" w:line="225"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and the reduced disclosure requirements applicable to emerging growth companies or smaller reporting companies may make our common stock less attractive to investors.</w:t>
      </w:r>
    </w:p>
    <w:p>
      <w:pPr>
        <w:spacing w:after="0" w:line="139"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We may remain an emerging growth company for up to five years, or until such earlier time as we have more than $1.07 billion in annual revenue, the market value of our stock held by non-affiliates is more than $700 million or we issue more than $1 billion of non-convertible debt over a three-year period. For so long as we remain an emerging growth company, we are permitted and intend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or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being permitted to present only two years of audited financial statements and a correspondingly reduced "Management's Discussion and Analysis of Financial Condition and Results of Operations" disclosure in this prospectus, reduced disclosure obligations regarding executive compensation and exemptions from the requirements of holding a nonbinding advisory vote on executive compensation and shareholder approval of any golden parachute payments not previously approved. In this prospectus, we have taken advantage of reduced reporting obligations. In particular, in this prospectus, we have provided only two years of audited financial statements and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82"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An emerging growth company can therefore delay the adoption of certain accounting standards until those standards would otherwise apply to private companies. However, we are choosing to "opt out" of such extended transition period, and, as a result, we will comply with new or revised accounting standards on the relevant dates on which adoption of such standards is required for public companies that are not emerging growth companies. The JOBS Act provides that our decision to opt out of the extended transition period for complying with new or revised accounting standards is irrevocable.</w:t>
      </w:r>
    </w:p>
    <w:p>
      <w:pPr>
        <w:spacing w:after="0" w:line="170"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are also a "smaller reporting company," as such term is defined in Rule 12b-2 of the Exchange Act, meaning that the market value of our common stock held by non-affiliates plus the proposed aggregate amount of gross proceeds to us as a result of this offering is less than $700 million and our annual revenue is less than $100 million during the most recently completed fiscal year. We may continue to be a smaller reporting company after this offering if either (i) the market value of our common stock held by non-affiliates is less than $250 million or (ii) our annual revenue is less than $100 million during the most recently completed fiscal year and the market value of our common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ind w:right="720"/>
        <w:spacing w:after="0" w:line="332" w:lineRule="auto"/>
        <w:rPr>
          <w:sz w:val="20"/>
          <w:szCs w:val="20"/>
          <w:color w:val="auto"/>
        </w:rPr>
      </w:pPr>
      <w:r>
        <w:rPr>
          <w:rFonts w:ascii="Arial" w:cs="Arial" w:eastAsia="Arial" w:hAnsi="Arial"/>
          <w:sz w:val="16"/>
          <w:szCs w:val="16"/>
          <w:b w:val="1"/>
          <w:bCs w:val="1"/>
          <w:i w:val="1"/>
          <w:iCs w:val="1"/>
          <w:color w:val="auto"/>
        </w:rPr>
        <w:t>We will incur increased costs as a result of operating as a public company as we become subject to additional laws, regulations and listing exchange standards, and our management will be required to devote substantial time to new compliance initiatives.</w:t>
      </w:r>
    </w:p>
    <w:p>
      <w:pPr>
        <w:spacing w:after="0" w:line="139"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As a public company, and particularly after we are no longer an "emerging growth company" or a "smaller reporting company," we will incur significant legal, accounting and other expenses that we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201"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77" w:lineRule="exact"/>
        <w:rPr>
          <w:sz w:val="20"/>
          <w:szCs w:val="20"/>
          <w:color w:val="auto"/>
        </w:rPr>
      </w:pPr>
    </w:p>
    <w:p>
      <w:pPr>
        <w:ind w:right="80" w:firstLine="341"/>
        <w:spacing w:after="0" w:line="298" w:lineRule="auto"/>
        <w:rPr>
          <w:sz w:val="20"/>
          <w:szCs w:val="20"/>
          <w:color w:val="auto"/>
        </w:rPr>
      </w:pPr>
      <w:r>
        <w:rPr>
          <w:rFonts w:ascii="Arial" w:cs="Arial" w:eastAsia="Arial" w:hAnsi="Arial"/>
          <w:sz w:val="16"/>
          <w:szCs w:val="16"/>
          <w:color w:val="auto"/>
        </w:rPr>
        <w:t>Accounting principles and related pronouncements, implementation guidelines and interpretations we apply to a wide range of matters that are relevant to our business, including, but not limited to, revenue recognition, leases and stock-based compensation, are complex and involve subjective assumptions, estimates and judgments by our management. Changes in accounting pronouncements or their interpretation or changes in underlying assumptions, estimates or judgments by our management could significantly change our reported or expected financial performance.</w:t>
      </w:r>
    </w:p>
    <w:p>
      <w:pPr>
        <w:spacing w:after="0" w:line="167"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b w:val="1"/>
          <w:bCs w:val="1"/>
          <w:i w:val="1"/>
          <w:iCs w:val="1"/>
          <w:color w:val="auto"/>
        </w:rPr>
        <w:t>In connection with the preparation of our financial statements as of and for the years ended December 31, 2017 and 2018, the Company and our independent registered public accounting firm identified a material weakness in the Company's internal control over financial reporting. If we are not able to remediate the material weakness and otherwise to maintain an effective system of internal control over financial reporting in the future, investors may lose confidence in the accuracy and completeness of our financial reports, and the market price of our common stock could be materially and adversely affected.</w:t>
      </w:r>
    </w:p>
    <w:p>
      <w:pPr>
        <w:spacing w:after="0" w:line="152"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To date, we have not conducted an evaluation and testing of our internal control required by Section 404 of the Sarbanes-Oxley Act. We may experience situations in the future where our evaluation and testing processes required by Section 404 of the Sarbanes-Oxley Act, or work performed by independent registered accountants, may identify one or more material weaknesses in our internal controls over financial reporting that will result in our inability to assert that our internal control over financial reporting is effective. During our evaluation and testing, we may identify deficiencies and be unable to remediate them before we must provide the required reports.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ind w:right="20" w:firstLine="351"/>
        <w:spacing w:after="0" w:line="255" w:lineRule="auto"/>
        <w:rPr>
          <w:sz w:val="20"/>
          <w:szCs w:val="20"/>
          <w:color w:val="auto"/>
        </w:rPr>
      </w:pPr>
      <w:r>
        <w:rPr>
          <w:rFonts w:ascii="Arial" w:cs="Arial" w:eastAsia="Arial" w:hAnsi="Arial"/>
          <w:sz w:val="18"/>
          <w:szCs w:val="18"/>
          <w:color w:val="auto"/>
        </w:rPr>
        <w:t>In connection with the audits of our financial statements, we and our independent registered public accounting firm identified a material weakness related to our financial statement closing process, primarily related to the lack of sufficient skilled employees with U.S. GAAP and SEC reporting knowledge and experience for the purposes of timely and reliable financial reporting. Specifically, the material weakness identified relates to a lack of internal resources sufficient to prepare and review our consolidated financial statements and related disclosures in accordance with U.S. GAAP and financial reporting requirements set forth by the SEC.</w:t>
      </w:r>
    </w:p>
    <w:p>
      <w:pPr>
        <w:spacing w:after="0" w:line="197"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Under standards established by the Public Company Accounting Oversight Board, a material weakness is a deficiency, or combination of deficiencies, in internal control over financial reporting such that there is a reasonable possibility that a material misstatement of our annual or interim financial statements will not be prevented or detected and corrected on a timely basis.</w:t>
      </w:r>
    </w:p>
    <w:p>
      <w:pPr>
        <w:spacing w:after="0" w:line="194"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are working to remediate the material weakness and are taking steps to strengthen our internal control over financial reporting such as, for example, the recent hiring of Scott M. Coiante as Chief Financial Officer. Additionally, we plan to further develop and implement formal policies, processes and documentation procedures relating to the financial reporting of the Company. The actions that we are taking are subject to ongoing executive management review, and will also be subject to audit committee oversight. If we are unable to successfully remediate the material weakness, or if in the future, we identify further material weaknesses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will be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our business. In addition, we could become subject to investigations by NASDAQ, the SEC, and other regulatory authorities, and become subject to litigation from investors and stockholders, which could harm our reputation and our financial condition, or divert financial and management resources from our core business.</w:t>
      </w:r>
    </w:p>
    <w:p>
      <w:pPr>
        <w:spacing w:after="0" w:line="17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for the foreseeable future, capital appreciation, if any, of our common stock will be your sole source of gain.</w:t>
      </w:r>
    </w:p>
    <w:p>
      <w:pPr>
        <w:spacing w:after="0" w:line="186"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by our existing stockholders in the public market could cause our stock price to fall.</w:t>
      </w:r>
    </w:p>
    <w:p>
      <w:pPr>
        <w:spacing w:after="0" w:line="248" w:lineRule="exact"/>
        <w:rPr>
          <w:sz w:val="20"/>
          <w:szCs w:val="20"/>
          <w:color w:val="auto"/>
        </w:rPr>
      </w:pPr>
    </w:p>
    <w:p>
      <w:pPr>
        <w:ind w:right="20" w:firstLine="351"/>
        <w:spacing w:after="0" w:line="323" w:lineRule="auto"/>
        <w:rPr>
          <w:sz w:val="20"/>
          <w:szCs w:val="20"/>
          <w:color w:val="auto"/>
        </w:rPr>
      </w:pPr>
      <w:r>
        <w:rPr>
          <w:rFonts w:ascii="Arial" w:cs="Arial" w:eastAsia="Arial" w:hAnsi="Arial"/>
          <w:sz w:val="15"/>
          <w:szCs w:val="15"/>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After this offering, we will have outstanding 19,876,532 shares of common stock based on the number of shares outstanding as of June 30, 2019 (including 2,807 shares of common stock from the exercise of stock options on March 25, 2019, which were registered pursuant to Swedish law with the Swedish Companies Registration Office on August 27, 2019).</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7" w:name="page78"/>
    <w:bookmarkEnd w:id="77"/>
    <w:p>
      <w:pPr>
        <w:ind w:firstLine="351"/>
        <w:spacing w:after="0" w:line="289" w:lineRule="auto"/>
        <w:rPr>
          <w:sz w:val="20"/>
          <w:szCs w:val="20"/>
          <w:color w:val="auto"/>
        </w:rPr>
      </w:pPr>
      <w:r>
        <w:rPr>
          <w:rFonts w:ascii="Arial" w:cs="Arial" w:eastAsia="Arial" w:hAnsi="Arial"/>
          <w:sz w:val="16"/>
          <w:szCs w:val="16"/>
          <w:color w:val="auto"/>
        </w:rPr>
        <w:t>Of these shares of our common stock, the 5,666,667 shares to be sold in this offering, plus any shares sold upon exercise of the underwriters' option to purchase additional shares, will be freely tradable, without restriction, in the public market immediately following this offering, unless purchased by our affiliates. All of the remaining shares are currently restricted as a result of securities laws or lock-up agreements but will be able to be sold after the offering as described in the "Shares Eligible for Future Sale" section of this prospectus. Moreover, after this offering, holders of approximately 14,200,000 shares of our common stock will have rights, subject to certain conditions, to require us to file registration statements covering their shares or to include their shares in registration statements that we may file for ourselves or other stockholders. We also intend to register all shares of common stock that we may issue under our equity compensation plans. Once we register these shares, they can be freely sold in the public market upon issuance, subject to volume limitations applicable to affiliates and the lock-up agreements described in the "Underwriting" section of this prospectus.</w:t>
      </w:r>
    </w:p>
    <w:p>
      <w:pPr>
        <w:spacing w:after="0" w:line="17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i w:val="1"/>
          <w:iCs w:val="1"/>
          <w:color w:val="auto"/>
        </w:rPr>
        <w:t>Our certificate of incorporation that will become effective upon the completion of this offering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the company and our directors, officers and employees.</w:t>
      </w:r>
    </w:p>
    <w:p>
      <w:pPr>
        <w:spacing w:after="0" w:line="197"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Our certificate of incorporation that will become effective upon the completion of this offering provides that, unless we consent in writing to the selection of an alternative forum, the Court of Chancery of the State of Delaware (or, if the Court of Chancery does not have jurisdiction, the federal district court for the District of Delaware) will be the sole and exclusive forum for any derivative action or proceeding brought on our behalf under Delaware law, any action asserting a claim of breach of a fiduciary duty owed by any of our directors, officers or employees to our company or our stockholders, any action asserting a claim against us arising pursuant to any provision of the Delaware General Corporation Law or our certificate of incorporation or bylaws, any action asserting a claim against us governed by the internal affairs doctrine, or any other action asserting an "internal corporate claim," as defined in Section 115 of the Delaware General Corporation Law. These exclusive-forum provisions do not apply to claims under the Securities Act of 1933, as amended, or the Securities Act, or the Exchange Act. 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 If a court were to find the exclusive-forum provision in our certificate of incorporation to be inapplicable or unenforceable in an action, we may incur additional costs associated with resolving the dispute in other jurisdictions, which could harm our results of operations.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8" w:name="page79"/>
    <w:bookmarkEnd w:id="78"/>
    <w:p>
      <w:pPr>
        <w:jc w:val="center"/>
        <w:ind w:right="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jc w:val="both"/>
        <w:ind w:right="380" w:firstLine="348"/>
        <w:spacing w:after="0" w:line="302" w:lineRule="auto"/>
        <w:rPr>
          <w:sz w:val="20"/>
          <w:szCs w:val="20"/>
          <w:color w:val="auto"/>
        </w:rPr>
      </w:pPr>
      <w:r>
        <w:rPr>
          <w:rFonts w:ascii="Arial" w:cs="Arial" w:eastAsia="Arial" w:hAnsi="Arial"/>
          <w:sz w:val="15"/>
          <w:szCs w:val="15"/>
          <w:color w:val="auto"/>
        </w:rPr>
        <w:t>This prospectus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w:t>
      </w:r>
    </w:p>
    <w:p>
      <w:pPr>
        <w:spacing w:after="0" w:line="3" w:lineRule="exact"/>
        <w:rPr>
          <w:sz w:val="20"/>
          <w:szCs w:val="20"/>
          <w:color w:val="auto"/>
        </w:rPr>
      </w:pPr>
    </w:p>
    <w:p>
      <w:pPr>
        <w:ind w:right="400"/>
        <w:spacing w:after="0" w:line="323" w:lineRule="auto"/>
        <w:rPr>
          <w:sz w:val="20"/>
          <w:szCs w:val="20"/>
          <w:color w:val="auto"/>
        </w:rPr>
      </w:pPr>
      <w:r>
        <w:rPr>
          <w:rFonts w:ascii="Arial" w:cs="Arial" w:eastAsia="Arial" w:hAnsi="Arial"/>
          <w:sz w:val="16"/>
          <w:szCs w:val="16"/>
          <w:color w:val="auto"/>
        </w:rPr>
        <w:t>"potential,"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160"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estimates of our expenses, capital requirements and our needs for additional financing;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prospects of APR-246 and other product candidates, which are still in development;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outcome and results of ongoing or future preclinical studies and clinical trials of APR-246;</w:t>
      </w:r>
    </w:p>
    <w:p>
      <w:pPr>
        <w:spacing w:after="0" w:line="238"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design of our multiple clinical trials, including the sample size, trial duration, endpoint definition, event rate assumptions and eligibility criteria;</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expectations regarding the timing of data from our Phase 3 and additional clinical trials;</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market acceptance or commercial success of APR-246 and the degree of acceptance among physicians, patients, patient advocacy groups, health care payors and the medical community;</w:t>
      </w:r>
    </w:p>
    <w:p>
      <w:pPr>
        <w:spacing w:after="0" w:line="199"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expectations regarding competition, potential market size, the size of the patient populations for APR-246, if approved for commercial use, and market acceptance;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ability to maintain regulatory approval of APR-246, and any related restrictions, limitations and/or warnings in the label of APR-246;</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APR-246;</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potential claims relating to our intellectual property and third-party intellectual property;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duration of our intellectual property estate that will provide protection for APR-246;</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sales, marketing or distribution capabilities and our ability to commercialize APR-246, if we obtain regulatory approval;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current and future agreements with third parties in connection with the manufacturing, commercialization, packaging and distribution of APR-246;</w:t>
      </w:r>
    </w:p>
    <w:p>
      <w:pPr>
        <w:spacing w:after="0" w:line="261"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expectations regarding the ability of our current contract manufacturing partners to produce APR-246 in the quantities and timeframe that we will require;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expectations regarding our future costs of goods;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attract, retain and motivate key personnel and increase the size of our organization;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establish collaborations in lieu of obtaining additional financing;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anticipated use of proceeds from this offering;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9" w:name="page80"/>
    <w:bookmarkEnd w:id="79"/>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 or a smaller reporting company under the Exchange Act.</w:t>
      </w:r>
    </w:p>
    <w:p>
      <w:pPr>
        <w:spacing w:after="0" w:line="1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this prospectus may turn out to be inaccurate. Factors that may cause actual results to differ materially from current expectations include, among other things, those listed under "Risk Factors" and elsewhere in this prospectus. Potential investors are urged to consider these factors carefully in evaluating the forward-looking statements. These forward-looking statements speak only as of the date of this prospectus. Except as required by law, we assume no obligation to update or revise these forward-looking statements for any reason, even if new information becomes available in the future. You should read this prospectus with the understanding that our actual future results, levels of activity, performance and events and circumstances may be materially different from what we expect.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80" w:name="page81"/>
    <w:bookmarkEnd w:id="80"/>
    <w:p>
      <w:pPr>
        <w:jc w:val="center"/>
        <w:ind w:right="2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estimate that the net proceeds from our issuance and sale of 5,666,667 shares of our common stock in this offering will be approximately $75.9 million, after deducting underwriting discounts and commissions and estimated offering expenses payable by us. If the underwriters exercise their option to purchase additional shares in full, we estimate that our net proceeds will be approximately $87.7 million.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intend to use the net proceeds from the offering as follows:</w:t>
      </w:r>
    </w:p>
    <w:p>
      <w:pPr>
        <w:spacing w:after="0" w:line="239" w:lineRule="exact"/>
        <w:rPr>
          <w:sz w:val="20"/>
          <w:szCs w:val="20"/>
          <w:color w:val="auto"/>
        </w:rPr>
      </w:pPr>
    </w:p>
    <w:p>
      <w:pPr>
        <w:ind w:left="1080" w:right="240" w:hanging="532"/>
        <w:spacing w:after="0" w:line="370" w:lineRule="auto"/>
        <w:tabs>
          <w:tab w:leader="none" w:pos="10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Approximately $20.0 million to $30.0 million to fund future Phase 1b/2 clinical studies of APR-246 for solid tumor and hematological malignancies as well as additional future clinical studies to be determined if the data derived from such Phase 1b/2 clinical studies is favorable;</w:t>
      </w:r>
    </w:p>
    <w:p>
      <w:pPr>
        <w:spacing w:after="0" w:line="143" w:lineRule="exact"/>
        <w:rPr>
          <w:rFonts w:ascii="Arial" w:cs="Arial" w:eastAsia="Arial" w:hAnsi="Arial"/>
          <w:sz w:val="15"/>
          <w:szCs w:val="15"/>
          <w:color w:val="auto"/>
        </w:rPr>
      </w:pPr>
    </w:p>
    <w:p>
      <w:pPr>
        <w:ind w:left="1080" w:right="50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Approximately $10.0 million to $15.0 million to fund continued research and development activities for APR-548, including ongoing IND-enabling studies and a first-in-human clinical trial;</w:t>
      </w:r>
    </w:p>
    <w:p>
      <w:pPr>
        <w:spacing w:after="0" w:line="199"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Approximately $5.0 million to $10.0 million to fund the ongoing preclinical and clinical development of APR-246, including preparation and submission of a New Drug Application (NDA) in MDS; and</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remainder to fund general research and development activities, working capital and other general corporate activities including the buildout of infrastructure to support the advancement of our product candidates.</w:t>
      </w:r>
    </w:p>
    <w:p>
      <w:pPr>
        <w:spacing w:after="0" w:line="18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expected use of proceeds from this offering represents our current intentions based on our present plans and business condition. As of the date of this prospectus, we cannot predict with certainty all of the particular uses for the proceeds to be received upon the completion of this offering or the actual amounts that we will spend on the uses set forth above. We may also use a portion of the proceeds to in-license, acquire or invest in additional businesses, technologies, products or assets. Although we have no specific agreements, commitments or understandings with respect to any in-licensing activity or acquisition, we evaluate these opportunities and engage in related discussions with other companies from time to time.</w:t>
      </w:r>
    </w:p>
    <w:p>
      <w:pPr>
        <w:spacing w:after="0" w:line="170"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net proceeds from this offering, together with our cash and cash equivalents, may not be sufficient for us to conduct through completion any additional existing clinical trials of APR-246 or to otherwise complete the development of APR-246.</w:t>
      </w:r>
    </w:p>
    <w:p>
      <w:pPr>
        <w:spacing w:after="0" w:line="186"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amount and timing of our actual expenditures will depend on numerous factors, including the results of our research and development efforts, the timing and outcome of any ongoing or future clinical trials, and the timing and outcome of regulatory submissions. As a result, our management will have broad discretion over the use of the proceeds from this offering.</w:t>
      </w:r>
    </w:p>
    <w:p>
      <w:pPr>
        <w:spacing w:after="0" w:line="19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Pending the use of the proceeds from this offering, we may invest the proceeds in interest-bearing, investment-grade securities, certificates of deposit and/or U.S. government securities.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have never declared or paid any dividends on our common stock. We do not anticipate declaring or paying any cash dividends on our common stock in the foreseeable future. Any future determination to declare and pay cash dividends, if any, will be made at the discretion of our board of directors and will depend on a variety of factors, including applicable laws, our financial condition, results of operations, contractual restrictions, capital requirements, business prospects, general business or financial market conditions and other factors our board of directors may deem relevant.</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Corporate Reorganization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Aprea AB</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Prior to the Holdco Reorganization, the capital structure of Aprea AB consisted of four classes of equity interests: ordinary shares; Series A preferred shares; Series B preferred shares; and Series C preferred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reorganization</w:t>
      </w:r>
    </w:p>
    <w:p>
      <w:pPr>
        <w:spacing w:after="0" w:line="23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On September 20, 2019, we engaged in a series of transactions, which we refer to collectively as the Holdco Reorganization. As a result of the Holdco Reorganization, Aprea AB became a wholly-owned subsidiary of Aprea Therapeutics, Inc. and our consolidated financial statements will be reported from Aprea Therapeutics, Inc. We, Aprea AB, and the holders of all of the issued and outstanding equity interests of Aprea AB entered into a Share Contribution and Exchange Agreement, dated as of June 13, 2019, pursuant to which the Holdco Reorganization was effected.</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May 2019, we formed Aprea Therapeutics, Inc. as a stand-alone entity. The remaining steps to the Holdco Reorganization that were effected 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20, 2019 included:</w:t>
      </w:r>
    </w:p>
    <w:p>
      <w:pPr>
        <w:spacing w:after="0" w:line="232" w:lineRule="exact"/>
        <w:rPr>
          <w:sz w:val="20"/>
          <w:szCs w:val="20"/>
          <w:color w:val="auto"/>
        </w:rPr>
      </w:pPr>
    </w:p>
    <w:p>
      <w:pPr>
        <w:ind w:left="1080" w:right="14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holder of Aprea AB equity interests contributed, transferred, granted, assigned and delivered to us all of its right, title and interest in and to all Aprea AB equity interests owned by such holder;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exchange for each Aprea AB ordinary share contributed by a holder, we issued to such holder one share of our common stock;</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exchange for each Aprea AB Series A preferred share contributed by a holder, we issued to such holder one share of our Series A preferred stock;</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exchange for each Aprea AB Series B preferred share contributed by a holder, we issued to such holder one share of our Series B preferred stock;</w:t>
      </w:r>
    </w:p>
    <w:p>
      <w:pPr>
        <w:spacing w:after="0" w:line="21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exchange for each Aprea AB Series C preferred share contributed by a holder, we issued to such holder one share of our Series C preferred stock; and</w:t>
      </w:r>
    </w:p>
    <w:p>
      <w:pPr>
        <w:spacing w:after="0" w:line="199" w:lineRule="exact"/>
        <w:rPr>
          <w:rFonts w:ascii="Arial" w:cs="Arial" w:eastAsia="Arial" w:hAnsi="Arial"/>
          <w:sz w:val="18"/>
          <w:szCs w:val="18"/>
          <w:color w:val="auto"/>
        </w:rPr>
      </w:pPr>
    </w:p>
    <w:p>
      <w:pPr>
        <w:ind w:left="1080" w:right="40" w:hanging="532"/>
        <w:spacing w:after="0" w:line="298"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Each outstanding option to purchase Aprea AB ordinary shares issued by Aprea AB pursuant to the 2016 Stock Incentive Plan was cancelled, and we issued to the holder of such Aprea AB option, a substitute option to purchase, on the same terms and conditions as were applicable to such Aprea AB option, shares of our common stock pursuant to our 2019 Stock Incentive Plan; except that with respect to vested options held by U.S. employees, we assumed such options and exercised them for newly issued shares of Aprea.</w:t>
      </w:r>
    </w:p>
    <w:p>
      <w:pPr>
        <w:spacing w:after="0" w:line="16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Immediately prior to the completion of this offering, with the consent of shareholders representing a majority of our outstanding preferred shares, all outstanding shares of our convertible preferred stock, including the shares of our Series A preferred stock, Series B preferred stock and Series C preferred stock issued as part of the Holdco Reorganization will be converted into shares of our common stock on a 1-for-1.6045 basis. As a result of the Holdco Reorganization and such subsequent conversion, the former holders of all of the issued and outstanding equity interests of Aprea AB will have received 100% of our outstanding common stock as of immediately prior to the completion of the offering.</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3" w:name="page84"/>
    <w:bookmarkEnd w:id="83"/>
    <w:p>
      <w:pPr>
        <w:jc w:val="center"/>
        <w:ind w:right="4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cash and cash equivalents and our capitalization as of June 30, 2019:</w:t>
      </w:r>
    </w:p>
    <w:p>
      <w:pPr>
        <w:spacing w:after="0" w:line="239" w:lineRule="exact"/>
        <w:rPr>
          <w:sz w:val="20"/>
          <w:szCs w:val="20"/>
          <w:color w:val="auto"/>
        </w:rPr>
      </w:pPr>
    </w:p>
    <w:p>
      <w:pPr>
        <w:ind w:left="1080" w:right="440" w:hanging="532"/>
        <w:spacing w:after="0" w:line="332"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on an actual basis with respect to Aprea AB (including 2,807 shares of common stock from the exercise of stock options on March 25, 2019, which were registered pursuant to Swedish law with the Swedish Companies Registration Office on August 27, 2019);</w:t>
      </w:r>
    </w:p>
    <w:p>
      <w:pPr>
        <w:spacing w:after="0" w:line="166"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 a pro forma basis to give effect to (i) the Holdco Reorganization described under the section titled "Corporate Reorganization"; (ii) the 1 for 1.6045 split of our common stock which took place on September 26, 2019; (iii) the conversion of all of our outstanding shares of convertible preferred stock into an aggregate of 13,028,292 shares of common stock immediately prior to the completion of this offering and (iv) the filing and effectiveness of our amended and restated certificate of incorporation; and</w:t>
      </w:r>
    </w:p>
    <w:p>
      <w:pPr>
        <w:spacing w:after="0" w:line="210"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 a pro forma as adjusted basis to give further effect to our issuance and sale of 5,666,667 shares of our common stock in this offering at the initial public offering price of $15.00 per share, after deducting underwriting discounts and commissions and estimated offering expenses payable by us.</w:t>
      </w:r>
    </w:p>
    <w:p>
      <w:pPr>
        <w:spacing w:after="0" w:line="194"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Our capitalization following the completion of this offering will depend on the actual initial public offering price and other terms of this offering determined at pricing. You should read this table together with our financial statements and the related notes appearing at the end of this prospectus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4" w:name="page85"/>
    <w:bookmarkEnd w:id="84"/>
    <w:p>
      <w:pPr>
        <w:ind w:right="560"/>
        <w:spacing w:after="0" w:line="268" w:lineRule="auto"/>
        <w:rPr>
          <w:sz w:val="20"/>
          <w:szCs w:val="20"/>
          <w:color w:val="auto"/>
        </w:rPr>
      </w:pPr>
      <w:r>
        <w:rPr>
          <w:rFonts w:ascii="Arial" w:cs="Arial" w:eastAsia="Arial" w:hAnsi="Arial"/>
          <w:sz w:val="18"/>
          <w:szCs w:val="18"/>
          <w:color w:val="auto"/>
        </w:rPr>
        <w:t>and the sections of this prospectus titled "Corporate Reorganization," "Selected Financial Data" and "Management's Discussion and Analysis of Financial Condition and Results of Operations."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87"/>
              </w:rPr>
              <w:t>June 30, 2019</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right"/>
              <w:ind w:right="175"/>
              <w:spacing w:after="0" w:line="129" w:lineRule="exact"/>
              <w:rPr>
                <w:sz w:val="20"/>
                <w:szCs w:val="20"/>
                <w:color w:val="auto"/>
              </w:rPr>
            </w:pPr>
            <w:r>
              <w:rPr>
                <w:rFonts w:ascii="Arial" w:cs="Arial" w:eastAsia="Arial" w:hAnsi="Arial"/>
                <w:sz w:val="14"/>
                <w:szCs w:val="14"/>
                <w:b w:val="1"/>
                <w:bCs w:val="1"/>
                <w:color w:val="auto"/>
                <w:w w:val="99"/>
              </w:rPr>
              <w:t>Pro forma</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0"/>
              </w:rPr>
              <w:t>as adjusted</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60,994,738</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60,994,738</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136,844,743</w:t>
            </w:r>
          </w:p>
        </w:tc>
        <w:tc>
          <w:tcPr>
            <w:tcW w:w="160" w:type="dxa"/>
            <w:vAlign w:val="bottom"/>
            <w:shd w:val="clear" w:color="auto" w:fill="CCEEFF"/>
          </w:tcPr>
          <w:p>
            <w:pPr>
              <w:spacing w:after="0"/>
              <w:rPr>
                <w:sz w:val="18"/>
                <w:szCs w:val="18"/>
                <w:color w:val="auto"/>
              </w:rPr>
            </w:pPr>
          </w:p>
        </w:tc>
      </w:tr>
      <w:tr>
        <w:trPr>
          <w:trHeight w:val="208"/>
        </w:trPr>
        <w:tc>
          <w:tcPr>
            <w:tcW w:w="5320" w:type="dxa"/>
            <w:vAlign w:val="bottom"/>
            <w:gridSpan w:val="2"/>
          </w:tcPr>
          <w:p>
            <w:pPr>
              <w:spacing w:after="0"/>
              <w:rPr>
                <w:sz w:val="20"/>
                <w:szCs w:val="20"/>
                <w:color w:val="auto"/>
              </w:rPr>
            </w:pPr>
            <w:r>
              <w:rPr>
                <w:rFonts w:ascii="Arial" w:cs="Arial" w:eastAsia="Arial" w:hAnsi="Arial"/>
                <w:sz w:val="18"/>
                <w:szCs w:val="18"/>
                <w:color w:val="auto"/>
              </w:rPr>
              <w:t>Convertible preferred stock:</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w w:val="95"/>
              </w:rPr>
              <w:t>Series A convertible preferred stock, $0.11 par value; 612,446 shares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issued and outstanding actual; no shares outstanding, pro forma and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 forma as adjusted</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6,483,044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w w:val="92"/>
              </w:rPr>
              <w:t>Series B convertible preferred stock, $0.11 par value; 7,235,969 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w w:val="93"/>
              </w:rPr>
              <w:t>issued and outstanding actual; no shares outstanding, pro forma and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pro forma as adjusted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49,742,942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w w:val="92"/>
              </w:rPr>
              <w:t>Series C convertible preferred stock, $0.11 par value; 5,179,877 shares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issued and outstanding actual; no shares outstanding, pro forma and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 forma as adjusted</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61,963,007</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5320" w:type="dxa"/>
            <w:vAlign w:val="bottom"/>
            <w:gridSpan w:val="2"/>
          </w:tcPr>
          <w:p>
            <w:pPr>
              <w:spacing w:after="0"/>
              <w:rPr>
                <w:sz w:val="20"/>
                <w:szCs w:val="20"/>
                <w:color w:val="auto"/>
              </w:rPr>
            </w:pPr>
            <w:r>
              <w:rPr>
                <w:rFonts w:ascii="Arial" w:cs="Arial" w:eastAsia="Arial" w:hAnsi="Arial"/>
                <w:sz w:val="18"/>
                <w:szCs w:val="18"/>
                <w:color w:val="auto"/>
              </w:rPr>
              <w:t>Total convertible preferred stock</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118,188,993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w w:val="92"/>
              </w:rPr>
              <w:t>Common stock, $0.11 par value actual, $0.001 par value pro forma and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w w:val="89"/>
              </w:rPr>
              <w:t>pro forma as adjusted; 1,181,573 shares issued and outstanding actual;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w w:val="88"/>
              </w:rPr>
              <w:t>14,209,865 shares issued and outstanding, pro forma 19,876,532 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issued and outstanding, and pro forma as adjusted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129,974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14,210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19,877</w:t>
            </w: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19,971,732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138,276,489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214,120,827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(10,747,992)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(10,747,992)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(10,747,992)</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(71,206,106)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(71,206,106)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(71,206,106)</w:t>
            </w:r>
          </w:p>
        </w:tc>
      </w:tr>
      <w:tr>
        <w:trPr>
          <w:trHeight w:val="210"/>
        </w:trPr>
        <w:tc>
          <w:tcPr>
            <w:tcW w:w="5320" w:type="dxa"/>
            <w:vAlign w:val="bottom"/>
            <w:gridSpan w:val="2"/>
          </w:tcPr>
          <w:p>
            <w:pPr>
              <w:spacing w:after="0"/>
              <w:rPr>
                <w:sz w:val="20"/>
                <w:szCs w:val="20"/>
                <w:color w:val="auto"/>
              </w:rPr>
            </w:pPr>
            <w:r>
              <w:rPr>
                <w:rFonts w:ascii="Arial" w:cs="Arial" w:eastAsia="Arial" w:hAnsi="Arial"/>
                <w:sz w:val="18"/>
                <w:szCs w:val="18"/>
                <w:color w:val="auto"/>
              </w:rPr>
              <w:t>Total stockholders' equity (deficit)</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(61,852,392)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56,336,601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132,186,606</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56,336,601</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56,336,601</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132,186,606</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above does not include:</w:t>
      </w:r>
    </w:p>
    <w:p>
      <w:pPr>
        <w:spacing w:after="0" w:line="239" w:lineRule="exact"/>
        <w:rPr>
          <w:sz w:val="20"/>
          <w:szCs w:val="20"/>
          <w:color w:val="auto"/>
        </w:rPr>
      </w:pPr>
    </w:p>
    <w:p>
      <w:pPr>
        <w:ind w:left="108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2,761,794 shares of our common stock issuable upon the exercise of stock options outstanding as of June 30, 2019, at a weighted average exercise price of $1.66 per share; and</w:t>
      </w:r>
    </w:p>
    <w:p>
      <w:pPr>
        <w:spacing w:after="0" w:line="212" w:lineRule="exact"/>
        <w:rPr>
          <w:rFonts w:ascii="Arial" w:cs="Arial" w:eastAsia="Arial" w:hAnsi="Arial"/>
          <w:sz w:val="18"/>
          <w:szCs w:val="18"/>
          <w:color w:val="auto"/>
        </w:rPr>
      </w:pPr>
    </w:p>
    <w:p>
      <w:pPr>
        <w:jc w:val="both"/>
        <w:ind w:left="1080" w:right="160" w:hanging="532"/>
        <w:spacing w:after="0" w:line="335" w:lineRule="auto"/>
        <w:tabs>
          <w:tab w:leader="none" w:pos="10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2,488,206 shares of common stock reserved for issuance pursuant to future awards under our 2019 Stock Incentive Plan or our Employee Stock Purchase Plan, plus any future increases in the number of shares of common stock reserved for issuance under our 2019 Stock Incentive Plan or our Employee Stock Purchase Plan pursuant to provisions thereof that automatically increase the share reserve under the plan each year.</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5" w:name="page86"/>
    <w:bookmarkEnd w:id="85"/>
    <w:p>
      <w:pPr>
        <w:jc w:val="center"/>
        <w:ind w:right="2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this offering.</w:t>
      </w:r>
    </w:p>
    <w:p>
      <w:pPr>
        <w:spacing w:after="0" w:line="19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historical net tangible book value (deficit) as of June 30, 2019 was $(61.9) million, or $(52.35) per share of our common stock. Our historical net tangible book value (deficit) is the amount of our total assets less our total liabilities and convertible preferred stock, which is not included in our stockholders' deficit. Historical net tangible book value (deficit) per share represents historical net tangible book value (deficit) divided by the number of shares of our common stock outstanding as of June 30, 2019 (including 2,807 shares of common stock from the exercise of stock options on March 25, 2019, which were registered pursuant to Swedish law with the Swedish Companies Registration Office on August 27, 2019) after giving effect to the 1 for 1.6045 split of our common stock which took place on September 26, 2019.</w:t>
      </w:r>
    </w:p>
    <w:p>
      <w:pPr>
        <w:spacing w:after="0" w:line="198"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color w:val="auto"/>
        </w:rPr>
        <w:t>Our pro forma net tangible book value as of June 30, 2019 was $56.3 million, or $3.96 per share of our common stock. Pro forma net tangible book value represents the amount of our total assets less our total liabilities, after giving effect to (i) the Holdco Reorganization described under the section titled "Corporate Reorganization," pursuant to which all of the issued and outstanding stock of Aprea Therapeutics AB was exchanged for common stock, preferred stock or options, as applicable, of Aprea Therapeutics, Inc., (ii) the 1 for 1.6045 split of our common stock which took place on September 26, 2019 and (iii) the conversion of all of our outstanding shares of convertible preferred stock into an aggregate of 13,028,292 shares of our common stock immediately prior to the completion of this offering. Pro forma net tangible book value per share represents pro forma net tangible book value divided by the total number of shares of common stock outstanding as of June 30, 2019 (including 2,807 shares of common stock from the exercise of stock options on March 25, 2019, which were registered pursuant to Swedish law with the Swedish Companies Registration Office on August 27, 2019), after giving effect to the Holdco Reorganization, the 1 for 1.6045 split of our common stock which took place on September 26, 2019 and the automatic conversion of all outstanding shares of our preferred stock into common stock immediately prior to the completion of this offering.</w:t>
      </w:r>
    </w:p>
    <w:p>
      <w:pPr>
        <w:spacing w:after="0" w:line="177" w:lineRule="exact"/>
        <w:rPr>
          <w:sz w:val="20"/>
          <w:szCs w:val="20"/>
          <w:color w:val="auto"/>
        </w:rPr>
      </w:pPr>
    </w:p>
    <w:p>
      <w:pPr>
        <w:ind w:right="160" w:firstLine="341"/>
        <w:spacing w:after="0" w:line="254" w:lineRule="auto"/>
        <w:rPr>
          <w:sz w:val="20"/>
          <w:szCs w:val="20"/>
          <w:color w:val="auto"/>
        </w:rPr>
      </w:pPr>
      <w:r>
        <w:rPr>
          <w:rFonts w:ascii="Arial" w:cs="Arial" w:eastAsia="Arial" w:hAnsi="Arial"/>
          <w:sz w:val="18"/>
          <w:szCs w:val="18"/>
          <w:color w:val="auto"/>
        </w:rPr>
        <w:t>After giving further effect to our sale of 5,666,667 shares of common stock in this offering at the initial public offering price of $15.00 per share, and after deducting underwriting discounts and commissions and estimated offering expenses payable by us, our pro forma as adjusted net tangible book value as of June 30, 2019 would have been $132.2 million, or $6.65 per share. This represents an immediate increase in pro forma as adjusted net tangible book value of $2.69 per share to our existing stockholders and an immediate dilution in pro forma as adjusted net tangible book value of $8.35 per share to new investors purchasing common stock in this offering. Dilution per share to new investors purchasing common stock in this offering is determined by subtracting pro forma as adjusted net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6" w:name="page87"/>
    <w:bookmarkEnd w:id="86"/>
    <w:p>
      <w:pPr>
        <w:ind w:right="100"/>
        <w:spacing w:after="0" w:line="268" w:lineRule="auto"/>
        <w:rPr>
          <w:sz w:val="20"/>
          <w:szCs w:val="20"/>
          <w:color w:val="auto"/>
        </w:rPr>
      </w:pPr>
      <w:r>
        <w:rPr>
          <w:rFonts w:ascii="Arial" w:cs="Arial" w:eastAsia="Arial" w:hAnsi="Arial"/>
          <w:sz w:val="18"/>
          <w:szCs w:val="18"/>
          <w:color w:val="auto"/>
        </w:rPr>
        <w:t>tangible book value per share after this offering from the initial public offering price per share paid by new investors. The following table illustrates this dilution on a per share basis:</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 per share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7"/>
              </w:rPr>
              <w:t>15.00</w:t>
            </w: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Historical net tangible book value (deficit) per share as of June 30, 2019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(52.35)</w:t>
            </w:r>
          </w:p>
        </w:tc>
        <w:tc>
          <w:tcPr>
            <w:tcW w:w="6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w w:val="89"/>
              </w:rPr>
              <w:t>Pro forma increase in net tangible book value per share attributable to the conversion of our Convertible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 immediately prior to the completion of this offering</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10"/>
        </w:trPr>
        <w:tc>
          <w:tcPr>
            <w:tcW w:w="7420" w:type="dxa"/>
            <w:vAlign w:val="bottom"/>
            <w:gridSpan w:val="2"/>
          </w:tcPr>
          <w:p>
            <w:pPr>
              <w:spacing w:after="0"/>
              <w:rPr>
                <w:sz w:val="20"/>
                <w:szCs w:val="20"/>
                <w:color w:val="auto"/>
              </w:rPr>
            </w:pPr>
            <w:r>
              <w:rPr>
                <w:rFonts w:ascii="Arial" w:cs="Arial" w:eastAsia="Arial" w:hAnsi="Arial"/>
                <w:sz w:val="18"/>
                <w:szCs w:val="18"/>
                <w:color w:val="auto"/>
              </w:rPr>
              <w:t>Pro forma net tangible book value per share as of June 30, 2019</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w w:val="89"/>
              </w:rPr>
              <w:t>Increase in pro forma net tangible book value per share attributable to new investors participating in this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offering</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6.65</w:t>
            </w: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w w:val="93"/>
              </w:rPr>
              <w:t>Dilution in pro forma net tangible book value per share to new investors participating in this offering</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8.35</w:t>
            </w:r>
          </w:p>
        </w:tc>
      </w:tr>
    </w:tbl>
    <w:p>
      <w:pPr>
        <w:spacing w:after="0" w:line="208"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If the underwriters exercise their option to purchase additional shares in full, our pro forma as adjusted net tangible book value per share after this offering would be $6.95 per share, representing an immediate increase in pro forma as adjusted net tangible book value per share of $2.99 to existing stockholders and an immediate dilution in pro forma as adjusted net tangible book value per share of $8.05 to new investors purchasing common stock in this offering, at an initial public offering price of $15.00 per share, and after deducting underwriting discounts and commissions and estimated offering expenses payable by us. If any shares are issued upon exercise of outstanding options, you will experience further dilution.</w:t>
      </w:r>
    </w:p>
    <w:p>
      <w:pPr>
        <w:spacing w:after="0" w:line="170"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following table summarizes, on a pro forma as adjusted basis, as of June 30, 2019, the differences between the number of shares of common stock purchased from us, the total consideration paid to us and the average price per share paid by existing stockholders and by new investors purchasing shares of common stock in this offering. The calculation below is based on an initial public offering price of $15.00 per share, before deducting underwriting discounts and commissions and estimated offering expenses payable by us:</w:t>
      </w:r>
    </w:p>
    <w:p>
      <w:pPr>
        <w:spacing w:after="0" w:line="3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8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Shares purchased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Total consideration</w:t>
            </w:r>
          </w:p>
        </w:tc>
        <w:tc>
          <w:tcPr>
            <w:tcW w:w="20" w:type="dxa"/>
            <w:vAlign w:val="bottom"/>
          </w:tcPr>
          <w:p>
            <w:pPr>
              <w:spacing w:after="0"/>
              <w:rPr>
                <w:sz w:val="14"/>
                <w:szCs w:val="14"/>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Average price</w:t>
            </w: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Number</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7"/>
              </w:rPr>
              <w:t>Percent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3"/>
              </w:rPr>
              <w:t>Percent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1"/>
              </w:rPr>
              <w:t>per share</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 before this offering</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14,209,865</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136,926,976</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Investors participating in this offering</w:t>
            </w:r>
          </w:p>
        </w:tc>
        <w:tc>
          <w:tcPr>
            <w:tcW w:w="920" w:type="dxa"/>
            <w:vAlign w:val="bottom"/>
          </w:tcPr>
          <w:p>
            <w:pPr>
              <w:jc w:val="right"/>
              <w:spacing w:after="0"/>
              <w:rPr>
                <w:sz w:val="20"/>
                <w:szCs w:val="20"/>
                <w:color w:val="auto"/>
              </w:rPr>
            </w:pPr>
            <w:r>
              <w:rPr>
                <w:rFonts w:ascii="Arial" w:cs="Arial" w:eastAsia="Arial" w:hAnsi="Arial"/>
                <w:sz w:val="18"/>
                <w:szCs w:val="18"/>
                <w:color w:val="auto"/>
              </w:rPr>
              <w:t>5,666,667</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85,000,005</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38%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19,876,532</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221,926,981</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table above assumes no exercise of the underwriters' option to purchase additional shares in this offering. If the underwriters' option to purchase additional shares is exercised in full, the number of shares of our common stock held by existing stockholders would be reduced to 69% of the total number of shares of our common stock outstanding after this offering, and the number of shares of common stock held by new investors participating in the offering would be increased to 31% of the total number of shares of our common stock outstanding after this offering.</w:t>
      </w:r>
    </w:p>
    <w:p>
      <w:pPr>
        <w:spacing w:after="0" w:line="167"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number of shares purchased from us by existing stockholders is based on 14,209,865 shares of our common stock outstanding as of June 30, 2019 (including 2,807 shares of common stock from the exercise of stock options on March 25, 2019, which were registered pursuant to Swedish law with the Swedish Companies Registration Office on August 27, 2019), after giving effect to (i) the Holdco Reorganization described under the section titled "Corporate Reorganization," pursuant to which all of the issued and outstanding stock of Aprea Therapeutics AB was exchanged for common stock, preferred stock or options, as applicable, of Aprea Therapeutics, Inc., (ii) the 1 for 1.6045 split of our common stock which took place on September 26, 2019 and (iii) the conversion of all outstanding</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7" w:name="page88"/>
    <w:bookmarkEnd w:id="87"/>
    <w:p>
      <w:pPr>
        <w:spacing w:after="0" w:line="268" w:lineRule="auto"/>
        <w:rPr>
          <w:sz w:val="20"/>
          <w:szCs w:val="20"/>
          <w:color w:val="auto"/>
        </w:rPr>
      </w:pPr>
      <w:r>
        <w:rPr>
          <w:rFonts w:ascii="Arial" w:cs="Arial" w:eastAsia="Arial" w:hAnsi="Arial"/>
          <w:sz w:val="18"/>
          <w:szCs w:val="18"/>
          <w:color w:val="auto"/>
        </w:rPr>
        <w:t>shares of our convertible preferred stock, including the shares issued as part of the Holdco Reorganization, into an aggregate of 13,028,292 shares of our common stock, immediately prior to the completion of this offering, and excludes:</w:t>
      </w:r>
    </w:p>
    <w:p>
      <w:pPr>
        <w:spacing w:after="0" w:line="199" w:lineRule="exact"/>
        <w:rPr>
          <w:sz w:val="20"/>
          <w:szCs w:val="20"/>
          <w:color w:val="auto"/>
        </w:rPr>
      </w:pPr>
    </w:p>
    <w:p>
      <w:pPr>
        <w:ind w:left="1080" w:right="2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2,761,794 shares of our common stock issuable upon the exercise of stock options outstanding as of June 30, 2019, at a weighted average exercise price of $1.66 per share; and</w:t>
      </w:r>
    </w:p>
    <w:p>
      <w:pPr>
        <w:spacing w:after="0" w:line="212" w:lineRule="exact"/>
        <w:rPr>
          <w:rFonts w:ascii="Arial" w:cs="Arial" w:eastAsia="Arial" w:hAnsi="Arial"/>
          <w:sz w:val="18"/>
          <w:szCs w:val="18"/>
          <w:color w:val="auto"/>
        </w:rPr>
      </w:pPr>
    </w:p>
    <w:p>
      <w:pPr>
        <w:jc w:val="both"/>
        <w:ind w:left="1080" w:right="180" w:hanging="532"/>
        <w:spacing w:after="0" w:line="335" w:lineRule="auto"/>
        <w:tabs>
          <w:tab w:leader="none" w:pos="10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2,488,206 shares of common stock reserved for issuance pursuant to future awards under our 2019 Stock Incentive Plan or our Employee Stock Purchase Plan, plus any future increases in the number of shares of common stock reserved for issuance under our 2019 Stock Incentive Plan or our Employee Stock Purchase Plan pursuant to provisions thereof that automatically increase the share reserve under the plan each year.</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8" w:name="page89"/>
    <w:bookmarkEnd w:id="88"/>
    <w:p>
      <w:pPr>
        <w:jc w:val="center"/>
        <w:ind w:right="40"/>
        <w:spacing w:after="0"/>
        <w:rPr>
          <w:sz w:val="20"/>
          <w:szCs w:val="20"/>
          <w:color w:val="auto"/>
        </w:rPr>
      </w:pPr>
      <w:r>
        <w:rPr>
          <w:rFonts w:ascii="Arial" w:cs="Arial" w:eastAsia="Arial" w:hAnsi="Arial"/>
          <w:sz w:val="18"/>
          <w:szCs w:val="18"/>
          <w:b w:val="1"/>
          <w:bCs w:val="1"/>
          <w:color w:val="auto"/>
        </w:rPr>
        <w:t>Selected Financial Data</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i w:val="1"/>
          <w:iCs w:val="1"/>
          <w:color w:val="auto"/>
        </w:rPr>
        <w:t>You should read the following selected financial data together with our financial statements and the related notes appearing at the end of this prospectus and the "Management's Discussion and Analysis of Financial Condition and Results of Operations" section of this prospectus. We have derived the statement of operations data for the years ended December 31, 2017 and 2018 and the balance sheet data as of December 31, 2017 and 2018 from our audited financial statements appearing at the end of this prospectus. The consolidated statements of operations data for the six months ended June 30, 2018 and 2019 and the consolidated balance sheet data at June 30, 2019 are derived from our unaudited condensed consolidated financial statements included in this prospectus. The unaudited condensed consolidated financial statements include, in the opinion of management, all adjustments that management considers necessary for the fair presentation of the consolidated financial information set forth in those statements. Our historical results are not necessarily indicative of results that should be expected in any future period</w:t>
      </w:r>
      <w:r>
        <w:rPr>
          <w:rFonts w:ascii="Arial" w:cs="Arial" w:eastAsia="Arial" w:hAnsi="Arial"/>
          <w:sz w:val="16"/>
          <w:szCs w:val="16"/>
          <w:color w:val="auto"/>
        </w:rPr>
        <w:t>.</w:t>
      </w: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6"/>
          </w:tcPr>
          <w:p>
            <w:pPr>
              <w:jc w:val="right"/>
              <w:ind w:right="418"/>
              <w:spacing w:after="0"/>
              <w:rPr>
                <w:sz w:val="20"/>
                <w:szCs w:val="20"/>
                <w:color w:val="auto"/>
              </w:rPr>
            </w:pPr>
            <w:r>
              <w:rPr>
                <w:rFonts w:ascii="Arial" w:cs="Arial" w:eastAsia="Arial" w:hAnsi="Arial"/>
                <w:sz w:val="14"/>
                <w:szCs w:val="14"/>
                <w:b w:val="1"/>
                <w:bCs w:val="1"/>
                <w:color w:val="auto"/>
                <w:w w:val="96"/>
              </w:rPr>
              <w:t>Years ended December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6"/>
          </w:tcPr>
          <w:p>
            <w:pPr>
              <w:jc w:val="right"/>
              <w:ind w:right="442"/>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gridSpan w:val="6"/>
          </w:tcPr>
          <w:p>
            <w:pPr>
              <w:jc w:val="right"/>
              <w:ind w:right="882"/>
              <w:spacing w:after="0" w:line="142" w:lineRule="exact"/>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3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13,392,631</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14,194,732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7,492,788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7,998,270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34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2,459,744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2,294,671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1,166,520</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2,347,915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15,852,375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16,489,403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8,659,308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10,346,185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(188)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(7,439)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340"/>
              <w:spacing w:after="0"/>
              <w:rPr>
                <w:sz w:val="20"/>
                <w:szCs w:val="20"/>
                <w:color w:val="auto"/>
              </w:rPr>
            </w:pPr>
            <w:r>
              <w:rPr>
                <w:rFonts w:ascii="Arial" w:cs="Arial" w:eastAsia="Arial" w:hAnsi="Arial"/>
                <w:sz w:val="18"/>
                <w:szCs w:val="18"/>
                <w:color w:val="auto"/>
              </w:rPr>
              <w:t>Foreign currency gain</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662,140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961,316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949,158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1,615,974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662,125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961,134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948,970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1,608,535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(15,190,250</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(15,528,269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(7,710,338</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(8,737,650</w:t>
            </w:r>
          </w:p>
        </w:tc>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4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3"/>
              </w:rPr>
              <w:t>Net loss per share attributable to common stockholders,</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 and diluted(1)</w:t>
            </w:r>
          </w:p>
        </w:tc>
        <w:tc>
          <w:tcPr>
            <w:tcW w:w="3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(13.17)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(6.68)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0"/>
        </w:trPr>
        <w:tc>
          <w:tcPr>
            <w:tcW w:w="4220" w:type="dxa"/>
            <w:vAlign w:val="bottom"/>
            <w:gridSpan w:val="3"/>
            <w:vMerge w:val="restart"/>
          </w:tcPr>
          <w:p>
            <w:pPr>
              <w:spacing w:after="0"/>
              <w:rPr>
                <w:sz w:val="20"/>
                <w:szCs w:val="20"/>
                <w:color w:val="auto"/>
              </w:rPr>
            </w:pPr>
            <w:r>
              <w:rPr>
                <w:rFonts w:ascii="Arial" w:cs="Arial" w:eastAsia="Arial" w:hAnsi="Arial"/>
                <w:sz w:val="18"/>
                <w:szCs w:val="18"/>
                <w:color w:val="auto"/>
                <w:w w:val="90"/>
              </w:rPr>
              <w:t>Weighted average common shares outstanding, basic and</w:t>
            </w: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diluted(1)</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1,153,069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1,154,368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1,154,107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1,176,417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Pro forma net loss per share attributable to common</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stockholders, basic and diluted (unaudited)(1)</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4220" w:type="dxa"/>
            <w:vAlign w:val="bottom"/>
            <w:gridSpan w:val="3"/>
            <w:vMerge w:val="restart"/>
          </w:tcPr>
          <w:p>
            <w:pPr>
              <w:spacing w:after="0"/>
              <w:rPr>
                <w:sz w:val="20"/>
                <w:szCs w:val="20"/>
                <w:color w:val="auto"/>
              </w:rPr>
            </w:pPr>
            <w:r>
              <w:rPr>
                <w:rFonts w:ascii="Arial" w:cs="Arial" w:eastAsia="Arial" w:hAnsi="Arial"/>
                <w:sz w:val="18"/>
                <w:szCs w:val="18"/>
                <w:color w:val="auto"/>
                <w:w w:val="90"/>
              </w:rPr>
              <w:t>Pro forma weighted average common shares outstanding,</w:t>
            </w: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basic and diluted (unaudited)(1)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9,428,873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14,075,669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20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100" w:hanging="531"/>
        <w:spacing w:after="0" w:line="233" w:lineRule="auto"/>
        <w:tabs>
          <w:tab w:leader="none" w:pos="16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See Note 2 to our audited and unaudited interim financial statements included elsewhere in this prospectus for an explanation of the method used to calculate basic and diluted net loss per share and unaudited pro forma basic and diluted net loss per share as well as the weighted-average number of common shares used in the computation of the per share amounts.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4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3"/>
          </w:tcPr>
          <w:p>
            <w:pPr>
              <w:ind w:left="14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10"/>
        </w:trPr>
        <w:tc>
          <w:tcPr>
            <w:tcW w:w="116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  24,401,488</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65,675,931</w:t>
            </w:r>
          </w:p>
        </w:tc>
        <w:tc>
          <w:tcPr>
            <w:tcW w:w="12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60,994,738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Working capital(1)</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20,430,334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61,129,968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56,215,210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24,761,804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66,022,638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62,214,654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4,301,013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4,868,109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5,878,053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Convertible preferred stock</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56,225,986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112,590,631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118,188,993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2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(35,765,195)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(51,436,102)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(61,852,392)</w:t>
            </w:r>
          </w:p>
        </w:tc>
        <w:tc>
          <w:tcPr>
            <w:tcW w:w="1140" w:type="dxa"/>
            <w:vAlign w:val="bottom"/>
          </w:tcPr>
          <w:p>
            <w:pPr>
              <w:spacing w:after="0"/>
              <w:rPr>
                <w:sz w:val="18"/>
                <w:szCs w:val="18"/>
                <w:color w:val="auto"/>
              </w:rPr>
            </w:pPr>
          </w:p>
        </w:tc>
      </w:tr>
      <w:tr>
        <w:trPr>
          <w:trHeight w:val="108"/>
        </w:trPr>
        <w:tc>
          <w:tcPr>
            <w:tcW w:w="116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19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371"/>
        </w:trPr>
        <w:tc>
          <w:tcPr>
            <w:tcW w:w="1500" w:type="dxa"/>
            <w:vAlign w:val="bottom"/>
            <w:gridSpan w:val="2"/>
          </w:tcPr>
          <w:p>
            <w:pPr>
              <w:ind w:left="1140"/>
              <w:spacing w:after="0"/>
              <w:rPr>
                <w:sz w:val="20"/>
                <w:szCs w:val="20"/>
                <w:color w:val="auto"/>
              </w:rPr>
            </w:pPr>
            <w:r>
              <w:rPr>
                <w:rFonts w:ascii="Arial" w:cs="Arial" w:eastAsia="Arial" w:hAnsi="Arial"/>
                <w:sz w:val="14"/>
                <w:szCs w:val="14"/>
                <w:color w:val="auto"/>
              </w:rPr>
              <w:t>(1)</w:t>
            </w:r>
          </w:p>
        </w:tc>
        <w:tc>
          <w:tcPr>
            <w:tcW w:w="3940" w:type="dxa"/>
            <w:vAlign w:val="bottom"/>
            <w:gridSpan w:val="2"/>
          </w:tcPr>
          <w:p>
            <w:pPr>
              <w:ind w:left="180"/>
              <w:spacing w:after="0"/>
              <w:rPr>
                <w:sz w:val="20"/>
                <w:szCs w:val="20"/>
                <w:color w:val="auto"/>
              </w:rPr>
            </w:pPr>
            <w:r>
              <w:rPr>
                <w:rFonts w:ascii="Arial" w:cs="Arial" w:eastAsia="Arial" w:hAnsi="Arial"/>
                <w:sz w:val="14"/>
                <w:szCs w:val="14"/>
                <w:color w:val="auto"/>
                <w:w w:val="91"/>
              </w:rPr>
              <w:t>We define working capital as current assets less current liabilities.</w:t>
            </w: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04"/>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00" w:type="dxa"/>
            <w:vAlign w:val="bottom"/>
          </w:tcPr>
          <w:p>
            <w:pPr>
              <w:jc w:val="right"/>
              <w:ind w:right="652"/>
              <w:spacing w:after="0"/>
              <w:rPr>
                <w:sz w:val="20"/>
                <w:szCs w:val="20"/>
                <w:color w:val="auto"/>
              </w:rPr>
            </w:pPr>
            <w:r>
              <w:rPr>
                <w:rFonts w:ascii="Arial" w:cs="Arial" w:eastAsia="Arial" w:hAnsi="Arial"/>
                <w:sz w:val="18"/>
                <w:szCs w:val="18"/>
                <w:color w:val="auto"/>
              </w:rPr>
              <w:t>85</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9" w:name="page90"/>
    <w:bookmarkEnd w:id="89"/>
    <w:p>
      <w:pPr>
        <w:jc w:val="center"/>
        <w:ind w:right="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3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the "Selected Financial Data" section of this prospectus and our financial statements and the related notes included at the end of this prospectus. This discussion and other parts of this prospectus contain forward-looking statements that involve risks and uncertainties, such as statements of our plans, objectives, expectations and intentions.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 xml:space="preserve">We are a clinical-stage biopharmaceutical company focused on developing and commercializing novel cancer therapeutics that reactivate mutant p53 tumor suppressor protein. p53 is the protein expressed from the </w:t>
      </w:r>
      <w:r>
        <w:rPr>
          <w:rFonts w:ascii="Arial" w:cs="Arial" w:eastAsia="Arial" w:hAnsi="Arial"/>
          <w:sz w:val="16"/>
          <w:szCs w:val="16"/>
          <w:i w:val="1"/>
          <w:iCs w:val="1"/>
          <w:color w:val="auto"/>
        </w:rPr>
        <w:t>TP53</w:t>
      </w:r>
      <w:r>
        <w:rPr>
          <w:rFonts w:ascii="Arial" w:cs="Arial" w:eastAsia="Arial" w:hAnsi="Arial"/>
          <w:sz w:val="16"/>
          <w:szCs w:val="16"/>
          <w:color w:val="auto"/>
        </w:rPr>
        <w:t xml:space="preserve"> gene, the most commonly mutated gene in cancer. We believe that mutant p53 is an attractive therapeutic target due to the high incidence of p53 mutations across a range of cancer types and its involvement in key cellular activities such as apoptosis. Cancer patients with mutant p53 face a significantly inferior prognosis even when treated with the current standard of care, and a large unmet need for these patients remains. Our lead product candidate, APR-246, is a small molecule p53 reactivator that is in late-stage clinical development for hematologic malignancies, including myelodysplastic syndromes, or MDS, and acute myeloid leukemia, or AML. APR-246 has received Orphan Drug and Fast Track designations from the FDA for MDS, and Orphan Drug designation from the EMA for MDS, AML and ovarian cancer, and we believe APR-246 will be a first-in-class therapy if approved by applicable regulators. We have commenced a pivotal Phase 3 trial of APR-246 with azacitidine for frontline treatment of </w:t>
      </w:r>
      <w:r>
        <w:rPr>
          <w:rFonts w:ascii="Arial" w:cs="Arial" w:eastAsia="Arial" w:hAnsi="Arial"/>
          <w:sz w:val="16"/>
          <w:szCs w:val="16"/>
          <w:i w:val="1"/>
          <w:iCs w:val="1"/>
          <w:color w:val="auto"/>
        </w:rPr>
        <w:t>TP53</w:t>
      </w:r>
      <w:r>
        <w:rPr>
          <w:rFonts w:ascii="Arial" w:cs="Arial" w:eastAsia="Arial" w:hAnsi="Arial"/>
          <w:sz w:val="16"/>
          <w:szCs w:val="16"/>
          <w:color w:val="auto"/>
        </w:rPr>
        <w:t xml:space="preserve"> mutant MDS and expect initial data from this trial in the second half of 2020. Our pivotal Phase 3 trial is supported by data from two ongoing Phase 1b/2 investigator initiated trials, one in the U.S. and one in France, testing APR-246 with azacitidine as frontline treatment in </w:t>
      </w:r>
      <w:r>
        <w:rPr>
          <w:rFonts w:ascii="Arial" w:cs="Arial" w:eastAsia="Arial" w:hAnsi="Arial"/>
          <w:sz w:val="16"/>
          <w:szCs w:val="16"/>
          <w:i w:val="1"/>
          <w:iCs w:val="1"/>
          <w:color w:val="auto"/>
        </w:rPr>
        <w:t>TP53</w:t>
      </w:r>
      <w:r>
        <w:rPr>
          <w:rFonts w:ascii="Arial" w:cs="Arial" w:eastAsia="Arial" w:hAnsi="Arial"/>
          <w:sz w:val="16"/>
          <w:szCs w:val="16"/>
          <w:color w:val="auto"/>
        </w:rPr>
        <w:t xml:space="preserve"> mutant MDS and AML patients.</w:t>
      </w:r>
    </w:p>
    <w:p>
      <w:pPr>
        <w:spacing w:after="0" w:line="177"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 xml:space="preserve">In the ongoing U.S. Phase 1b/2 trial, sponsored by Dr. David Sallman of the H. Lee Moffitt Cancer Center and Research Institute, or Moffitt, we have observed an objective response rate, or ORR, of 88% and a complete remission, or CR, rate of 59% in 41 response-evaluable MDS/AML patients treated with APR-246 and azacitidine, as of July 2019 and we expect a final CR endpoint in the second half of 2019. In MDS patients, the CR rate was 61%, with an additional 27% achieving non-CR responses. In AML patients, the CR rate was 50%, with an additional 38% achieving non-CR responses. In addition, 46% of evaluable patients were able to discontinue treatment in order to proceed to allogeneic hematopoietic stem cell transplantation, or allo-HCT. Allo-HCT is currently the only recognized therapy believed to increase the likelihood of long term survival for </w:t>
      </w:r>
      <w:r>
        <w:rPr>
          <w:rFonts w:ascii="Arial" w:cs="Arial" w:eastAsia="Arial" w:hAnsi="Arial"/>
          <w:sz w:val="16"/>
          <w:szCs w:val="16"/>
          <w:i w:val="1"/>
          <w:iCs w:val="1"/>
          <w:color w:val="auto"/>
        </w:rPr>
        <w:t>TP53</w:t>
      </w:r>
      <w:r>
        <w:rPr>
          <w:rFonts w:ascii="Arial" w:cs="Arial" w:eastAsia="Arial" w:hAnsi="Arial"/>
          <w:sz w:val="16"/>
          <w:szCs w:val="16"/>
          <w:color w:val="auto"/>
        </w:rPr>
        <w:t xml:space="preserve"> mutant MDS and AML patients in remission. In the ongoing French Phase 1b/2 trial, sponsored by Groupe Francophone des Myelodysplasies, or GFM, under lead investigator Prof. Pierre Fenaux, we have observed an ORR of 75% and a CR rate of 56% in 16 response-evaluable patients treated with APR-246 and azacitidine, as of July 2019 and we expect a final CR endpoint in the first half of 2020. In MDS patients, the CR rate was 55%, with an additional 18% achieving non-CR responses. In AML patients, the CR rate was 60%, with an additional 20% achieving non-CR responses. We expect the results of our pivotal Phase 3 trial and the U.S. and French Phase 1b/2 trials will be submitted in support of marketing applications to the FDA and EMA. We are also developing a next-generation small molecule p53 reactivator, APR-548, for potential use in multiple hematologic malignancies and other oncologic indications, and expect to file an IND with the FDA in the first half of 2020. We have assembled a management team with extensive experience in the discovery and development of novel oncology drugs. Our management team is supported by our world-class scientific advisors and leading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life science investors in their mission to successfully develop p53-reactivating therapies for cancer patients.</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Aprea Therapeutics AB, or Aprea AB, was originally incorporated in 2002 and commenced principal operations in 2006. In connection with this initial public offering, we incorporated Aprea Therapeutics, Inc. in May 2019. We completed the Holdco Reorganization on September 20, 2019, as a result of which all of the issued and outstanding stock of Aprea AB was exchanged for common stock, preferred stock or options, as applicable, of Aprea Therapeutics, Inc. As a result of such transactions, Aprea AB became a wholly-owned subsidiary of Aprea Therapeutics, Inc. For more information, please see the section titled "Corporate Reorganization".</w:t>
      </w:r>
    </w:p>
    <w:p>
      <w:pPr>
        <w:spacing w:after="0" w:line="197"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have devoted substantially all of our resources to developing our product candidates, including APR-246, building our intellectual property portfolio, business planning, raising capital and providing general and administrative support for these operations. To date, we have financed our operations through private placements of preferred stock. Through June 30, 2019, we had received net proceeds of $136.9 million from our sales of preferred and common stock.</w:t>
      </w:r>
    </w:p>
    <w:p>
      <w:pPr>
        <w:spacing w:after="0" w:line="16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Since our inception, we have incurred significant losses on an aggregate basis. Our ability to generate product revenue sufficient to achieve profitability will depend on the successful development and eventual commercialization of one or more of our product candidates. Our net losses were $8.7 million for the six months ended June 30, 2019 and $15.2 million and $15.5 million for the years ended December 31, 2017 and 2018, respectively. As of June 30, 2019, we had an accumulated deficit of $71.2 million. These losses have resulted primarily from costs incurred in connection with research and development activities, patent investment, and general and administrative costs associated with our operations. We expect to continue to incur significant expenses and increasing operating losses for at least the next several years.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anticipate that our expenses will increase substantially if and as we:</w:t>
      </w:r>
    </w:p>
    <w:p>
      <w:pPr>
        <w:spacing w:after="0" w:line="239"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conduct our current and future clinical trials and additional preclinical research of APR-246;</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initiate and continue research and preclinical and clinical development of our other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seek to identify and develop additional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seek marketing approvals for any of our product candidates that successfully complete clinical trials, if any;</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establish a sales, marketing, manufacturing and distribution infrastructure to commercialize any products for which we may obtain marketing approval;</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require the manufacture of larger quantities of our product candidates for clinical development and potentially commercialization;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maintain, expand, protect and enforce our intellectual property portfolio;</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acquire or in-license other drugs and technologies;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defend against any claims of infringement, misappropriation or other violation of third-party intellectual property;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hire and retain additional clinical, quality control and scientific personnel;</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drug development, any future commercialization efforts and our transition to a public company;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1" w:name="page92"/>
    <w:bookmarkEnd w:id="91"/>
    <w:p>
      <w:pPr>
        <w:ind w:firstLine="351"/>
        <w:spacing w:after="0" w:line="259" w:lineRule="auto"/>
        <w:rPr>
          <w:sz w:val="20"/>
          <w:szCs w:val="20"/>
          <w:color w:val="auto"/>
        </w:rPr>
      </w:pPr>
      <w:r>
        <w:rPr>
          <w:rFonts w:ascii="Arial" w:cs="Arial" w:eastAsia="Arial" w:hAnsi="Arial"/>
          <w:sz w:val="18"/>
          <w:szCs w:val="18"/>
          <w:color w:val="auto"/>
        </w:rPr>
        <w:t>Upon the completion of this offering, we expect to incur additional costs associated with operating as a public company. Furthermore, if we obtain marketing approval for any of our product candidates, we expect to incur significant commercialization expenses related to product manufacturing, marketing, sales and distribution.</w:t>
      </w:r>
    </w:p>
    <w:p>
      <w:pPr>
        <w:spacing w:after="0" w:line="194" w:lineRule="exact"/>
        <w:rPr>
          <w:sz w:val="20"/>
          <w:szCs w:val="20"/>
          <w:color w:val="auto"/>
        </w:rPr>
      </w:pPr>
    </w:p>
    <w:p>
      <w:pPr>
        <w:ind w:right="80" w:firstLine="341"/>
        <w:spacing w:after="0" w:line="255" w:lineRule="auto"/>
        <w:rPr>
          <w:sz w:val="20"/>
          <w:szCs w:val="20"/>
          <w:color w:val="auto"/>
        </w:rPr>
      </w:pPr>
      <w:r>
        <w:rPr>
          <w:rFonts w:ascii="Arial" w:cs="Arial" w:eastAsia="Arial" w:hAnsi="Arial"/>
          <w:sz w:val="18"/>
          <w:szCs w:val="18"/>
          <w:color w:val="auto"/>
        </w:rPr>
        <w:t>As a result, we will need additional financing to support our continuing operations. Until such time as we can generate significant revenue from product sales, if ever, we expect to finance our operations through a combination of public or private equity or debt financings or other sources, which may include collaborations with third parties. We may be unable to raise additional funds or enter into other agreements or arrangements when needed on favorable terms, or at all. If we fail to raise capital or enter into such agreements as and when needed, we may have to significantly delay, scale back or discontinue the development or commercialization of one or more of our product candidates.</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97" w:lineRule="exact"/>
        <w:rPr>
          <w:sz w:val="20"/>
          <w:szCs w:val="20"/>
          <w:color w:val="auto"/>
        </w:rPr>
      </w:pPr>
    </w:p>
    <w:p>
      <w:pPr>
        <w:ind w:right="80" w:firstLine="341"/>
        <w:spacing w:after="0" w:line="335" w:lineRule="auto"/>
        <w:rPr>
          <w:sz w:val="20"/>
          <w:szCs w:val="20"/>
          <w:color w:val="auto"/>
        </w:rPr>
      </w:pPr>
      <w:r>
        <w:rPr>
          <w:rFonts w:ascii="Arial" w:cs="Arial" w:eastAsia="Arial" w:hAnsi="Arial"/>
          <w:sz w:val="15"/>
          <w:szCs w:val="15"/>
          <w:color w:val="auto"/>
        </w:rPr>
        <w:t>As of June 30, 2019, we had cash and cash equivalents of $61.0 million. We believe that the anticipated net proceeds from this offering, together with our existing cash and cash equivalents, will enable us to fund our operating expenses and capital expenditure requirements into 2023. We have based this estimate on assumptions that may prove to be wrong, and we could exhaust our available capital resources sooner than we expect. See "—Liquidity and Capital Resources."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have not generated any revenue from product sales and do not expect to generate any revenue from the sale of products in the near future. If our development efforts for APR-246 or other product candidates that we may develop in the future are successful and result in marketing approval or collaboration or license agreements with third parties, we may generate revenue in the future from a combination of product sales or payments from collaboration or license agreements that we may enter into with third parties.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expenses since inception have consisted solely of research and development costs and general and administrative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discovery efforts, and the development of our product candidates, and include:</w:t>
      </w:r>
    </w:p>
    <w:p>
      <w:pPr>
        <w:spacing w:after="0" w:line="199" w:lineRule="exact"/>
        <w:rPr>
          <w:sz w:val="20"/>
          <w:szCs w:val="20"/>
          <w:color w:val="auto"/>
        </w:rPr>
      </w:pPr>
    </w:p>
    <w:p>
      <w:pPr>
        <w:ind w:left="1080" w:right="140" w:hanging="532"/>
        <w:spacing w:after="0" w:line="25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including contract research organizations, or CROs, that conduct research, preclinical activities and clinical trials on our behalf as well as contract manufacturing organizations, or CMOs, that manufacture our product candidates for use in our preclinical and clinical trials;</w:t>
      </w:r>
    </w:p>
    <w:p>
      <w:pPr>
        <w:spacing w:after="0" w:line="221"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salaries, benefits and other related costs, including stock-based compensation expense, for personnel engaged in research and development functions;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2" w:name="page93"/>
    <w:bookmarkEnd w:id="92"/>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costs of outside consultants, including their fees, stock-based compensation and related travel expenses;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costs of laboratory supplies and acquiring, developing and manufacturing preclinical study and clinical trial materials;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expenses related to compliance with regulatory requirements; and</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facility-related expenses, which include direct depreciation costs and allocated expenses for rent and maintenance of facilities and other operating costs.</w:t>
      </w:r>
    </w:p>
    <w:p>
      <w:pPr>
        <w:spacing w:after="0" w:line="18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expense research and development costs as incurred. We recognize costs for certain development activities, such as clinical trials, based on an evaluation of the progress to completion of specific tasks using data such as patient enrollment, clinical site activations, or information provided to us by our vendors and our clinical investigative sites. Payments for these activities are based on the terms of the individual agreements, which may differ from the pattern of costs incurred, and are reflected in our financial statements as prepaid or accrued research and development expenses.</w:t>
      </w:r>
    </w:p>
    <w:p>
      <w:pPr>
        <w:spacing w:after="0" w:line="167"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We typically use our employee and infrastructure resources across our development programs. We track outsourced development costs and milestone payments made to our research partners by product candidate or development program, but we do not allocate personnel costs or other internal costs to specific development programs or product candidates.</w:t>
      </w:r>
    </w:p>
    <w:p>
      <w:pPr>
        <w:spacing w:after="0" w:line="19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for the foreseeable future as we initiate additional clinical trials of APR-246, pursue later stages of clinical development of APR-246, initiate clinical trials for product candidates other than APR-246 and continue to discover and develop additional product candidates.</w:t>
      </w:r>
    </w:p>
    <w:p>
      <w:pPr>
        <w:spacing w:after="0" w:line="197"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cannot determine with certainty the duration and costs of the current or future clinical trials of our product candidates or if, when, or to what extent we will generate revenue from the commercialization and sale of any our product candidates for which we obtain marketing approval. We may never succeed in obtaining marketing approval for any of our product candidates. The duration, costs and timing of clinical trials and development of our product candidates will depend on a variety of factors, including:</w:t>
      </w:r>
    </w:p>
    <w:p>
      <w:pPr>
        <w:spacing w:after="0" w:line="224" w:lineRule="exact"/>
        <w:rPr>
          <w:sz w:val="20"/>
          <w:szCs w:val="20"/>
          <w:color w:val="auto"/>
        </w:rPr>
      </w:pPr>
    </w:p>
    <w:p>
      <w:pPr>
        <w:ind w:left="1080" w:right="32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scope, rate of progress, expense and results of our ongoing clinical trials of APR-246, as well as of any future clinical trials of APR-246 or other product candidates and other research and development activities that we may conduct;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uncertainties in clinical trial design and patient enrollment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timing and receipt of any marketing approvals;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any patent claims and other intellectual property rights.</w:t>
      </w:r>
    </w:p>
    <w:p>
      <w:pPr>
        <w:spacing w:after="0" w:line="225" w:lineRule="exact"/>
        <w:rPr>
          <w:sz w:val="20"/>
          <w:szCs w:val="20"/>
          <w:color w:val="auto"/>
        </w:rPr>
      </w:pPr>
    </w:p>
    <w:p>
      <w:pPr>
        <w:ind w:right="220" w:firstLine="341"/>
        <w:spacing w:after="0" w:line="256"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mean a significant change in the costs and timing associated with the development of that product candidate. For example, if the U.S. Food and Drug Administration, or FDA, or another regulatory authority were to require us to conduct clinical trials beyond those that we anticipate will be required for the completion of clinical development of a product candidate, or if we experience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93" w:name="page94"/>
    <w:bookmarkEnd w:id="93"/>
    <w:p>
      <w:pPr>
        <w:ind w:right="400"/>
        <w:spacing w:after="0" w:line="268" w:lineRule="auto"/>
        <w:rPr>
          <w:sz w:val="20"/>
          <w:szCs w:val="20"/>
          <w:color w:val="auto"/>
        </w:rPr>
      </w:pPr>
      <w:r>
        <w:rPr>
          <w:rFonts w:ascii="Arial" w:cs="Arial" w:eastAsia="Arial" w:hAnsi="Arial"/>
          <w:sz w:val="18"/>
          <w:szCs w:val="18"/>
          <w:color w:val="auto"/>
        </w:rPr>
        <w:t>significant trial delays due to patient enrollment or other reasons, we would be required to expend significant additional financial resources and time on the completion of clinical development.</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 xml:space="preserve">We are currently conducting multiple clinical trials of APR-246: our Phase 3 trial in the United States for the treatment of </w:t>
      </w:r>
      <w:r>
        <w:rPr>
          <w:rFonts w:ascii="Arial" w:cs="Arial" w:eastAsia="Arial" w:hAnsi="Arial"/>
          <w:sz w:val="18"/>
          <w:szCs w:val="18"/>
          <w:i w:val="1"/>
          <w:iCs w:val="1"/>
          <w:color w:val="auto"/>
        </w:rPr>
        <w:t>TP53</w:t>
      </w:r>
      <w:r>
        <w:rPr>
          <w:rFonts w:ascii="Arial" w:cs="Arial" w:eastAsia="Arial" w:hAnsi="Arial"/>
          <w:sz w:val="18"/>
          <w:szCs w:val="18"/>
          <w:color w:val="auto"/>
        </w:rPr>
        <w:t xml:space="preserve"> mutant MDS with azacitidine, our Phase 1b/2 trials in the United States and France for the treatment of MDS and AML with azacitidine, and our Phase 2 trial of post-transplant maintenance therapy with azacitidine in MDS and AML. At this time, we cannot reasonably estimate the cost for initiating and completing other clinical trials of APR-246 and preclinical studies of APR-246, as it will be highly dependent on the clinical data from ongoing clinical trials as well as any target disease subpopulations chosen for further evaluation.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320" w:firstLine="351"/>
        <w:spacing w:after="0" w:line="298" w:lineRule="auto"/>
        <w:rPr>
          <w:sz w:val="20"/>
          <w:szCs w:val="20"/>
          <w:color w:val="auto"/>
        </w:rPr>
      </w:pPr>
      <w:r>
        <w:rPr>
          <w:rFonts w:ascii="Arial" w:cs="Arial" w:eastAsia="Arial" w:hAnsi="Arial"/>
          <w:sz w:val="16"/>
          <w:szCs w:val="16"/>
          <w:color w:val="auto"/>
        </w:rPr>
        <w:t>General and administrative expenses consist primarily of salaries and other related costs, including stock-based compensation, for personnel in our executive, finance, corporate and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w:t>
      </w:r>
    </w:p>
    <w:p>
      <w:pPr>
        <w:spacing w:after="0" w:line="167" w:lineRule="exact"/>
        <w:rPr>
          <w:sz w:val="20"/>
          <w:szCs w:val="20"/>
          <w:color w:val="auto"/>
        </w:rPr>
      </w:pPr>
    </w:p>
    <w:p>
      <w:pPr>
        <w:ind w:right="300" w:firstLine="348"/>
        <w:spacing w:after="0" w:line="294" w:lineRule="auto"/>
        <w:rPr>
          <w:sz w:val="20"/>
          <w:szCs w:val="20"/>
          <w:color w:val="auto"/>
        </w:rPr>
      </w:pPr>
      <w:r>
        <w:rPr>
          <w:rFonts w:ascii="Arial" w:cs="Arial" w:eastAsia="Arial" w:hAnsi="Arial"/>
          <w:sz w:val="16"/>
          <w:szCs w:val="16"/>
          <w:color w:val="auto"/>
        </w:rPr>
        <w:t>We expect that our general and administrative expenses will increase in the future as we increase our general and administrative personnel headcount to support personnel in research and development and to support our operations generally as we increase our research and development activities and activities related to the potential commercialization of our product candidates. We also expect to incur increased expenses associated with being a public company, including costs of accounting, audit, legal, regulatory and tax-related services associated with maintaining compliance with exchange listing and SEC requirements; director and officer insurance costs; and investor and public relations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and expense</w:t>
      </w:r>
    </w:p>
    <w:p>
      <w:pPr>
        <w:spacing w:after="0" w:line="225"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Interest expense consists of bank charges and fees incurred on our cash and cash equivalents. We anticipate that our interest income will increase in the future as we expect our investment balances to be higher due to anticipated cash proceeds from this offering.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gain</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Our consolidated financial statements are presented in U.S. dollars, which is our reporting currency. The financial position and results of operations of our subsidiaries Aprea AB and Aprea Personal AB are measured using the foreign subsidiaries' local currency as the functional currency. Aprea AB cash accounts holding U.S. dollars are remeasured based upon the exchange rate at the date of remeasurement with the resulting gain or loss included in the consolidated statement of operations and comprehensive loss. Expenses of such subsidiaries have been translated into U.S. dollars at average exchange rates prevailing during the period. Assets and liabilities have been translated at the rates of exchange on the consolidated balance sheet date. The resulting translation gain and loss adjustments are recorded directly as a separate component of shareholders' equity and as other comprehensive loss on the consolidated statement of operations and comprehensive loss.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color w:val="auto"/>
        </w:rPr>
        <w:t>Since Aprea AB's inception in 2002, we have not recorded any U.S. federal, state or foreign income tax expense or benefits for the net losses we have incurred in any year, due to our uncertainty of realizing a benefit from those items. We have provided a valuation allowance for the full amount of</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94" w:name="page95"/>
    <w:bookmarkEnd w:id="94"/>
    <w:p>
      <w:pPr>
        <w:ind w:right="40"/>
        <w:spacing w:after="0" w:line="298" w:lineRule="auto"/>
        <w:rPr>
          <w:sz w:val="20"/>
          <w:szCs w:val="20"/>
          <w:color w:val="auto"/>
        </w:rPr>
      </w:pPr>
      <w:r>
        <w:rPr>
          <w:rFonts w:ascii="Arial" w:cs="Arial" w:eastAsia="Arial" w:hAnsi="Arial"/>
          <w:sz w:val="16"/>
          <w:szCs w:val="16"/>
          <w:color w:val="auto"/>
        </w:rPr>
        <w:t>the net deferred tax assets as, based on all available evidence, it is considered more likely than not that all the recorded deferred tax assets will not be realized in a future period. At December 31, 2018, we had $61.6 million, $0.5 million and $0.4 million of foreign, federal and state net operating loss carryforwards, respectively, that expire at various dates through 2036. Certain of these foreign, federal and state net operating loss carryforwards may be subject to Internal Revenue Code Section 382 or similar provisions, which impose limitations on their utilization amounts.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Our management's discussion and analysis of financial condition and results of operations is based on our financial statements, which have been prepared in accordance with generally accepted accounting principles in the United States. The preparation of our financial statements and related disclosures requires us to make estimates and assumptions that affect the reported amounts of assets and liabilities,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72" w:lineRule="exact"/>
        <w:rPr>
          <w:sz w:val="20"/>
          <w:szCs w:val="20"/>
          <w:color w:val="auto"/>
        </w:rPr>
      </w:pPr>
    </w:p>
    <w:p>
      <w:pPr>
        <w:ind w:right="380" w:firstLine="348"/>
        <w:spacing w:after="0" w:line="332" w:lineRule="auto"/>
        <w:rPr>
          <w:sz w:val="20"/>
          <w:szCs w:val="20"/>
          <w:color w:val="auto"/>
        </w:rPr>
      </w:pPr>
      <w:r>
        <w:rPr>
          <w:rFonts w:ascii="Arial" w:cs="Arial" w:eastAsia="Arial" w:hAnsi="Arial"/>
          <w:sz w:val="16"/>
          <w:szCs w:val="16"/>
          <w:color w:val="auto"/>
        </w:rPr>
        <w:t>While our significant accounting policies are described in more detail in the notes to our financial statements appearing at the end of this prospectus, we believe that the following accounting policies are those most critical to the judgments and estimates used in the preparation of our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ind w:firstLine="341"/>
        <w:spacing w:after="0" w:line="314" w:lineRule="auto"/>
        <w:rPr>
          <w:sz w:val="20"/>
          <w:szCs w:val="20"/>
          <w:color w:val="auto"/>
        </w:rPr>
      </w:pPr>
      <w:r>
        <w:rPr>
          <w:rFonts w:ascii="Arial" w:cs="Arial" w:eastAsia="Arial" w:hAnsi="Arial"/>
          <w:sz w:val="15"/>
          <w:szCs w:val="15"/>
          <w:color w:val="auto"/>
        </w:rPr>
        <w:t>As part of the process of preparing our financial statements, we are required to estimate our accrued research and development expenses at each balance sheet. This process involves reviewing open contract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advanced payments. We make estimates of our accrued expenses as of each balance sheet date in our financial statements based on facts and circumstances known to us at that time. Examples of estimated accrued research and development expenses include fees paid to:</w:t>
      </w:r>
    </w:p>
    <w:p>
      <w:pPr>
        <w:spacing w:after="0" w:line="172"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CROs in connection with performing research activities on our behalf and conducting preclinical studies and clinical trials on our behalf;</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investigative sites or other service providers in connection with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vendors in connection with preclinical and clinical development activities;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vendors related to product manufacturing and development and distribution of preclinical and clinical supplies.</w:t>
      </w:r>
    </w:p>
    <w:p>
      <w:pPr>
        <w:spacing w:after="0" w:line="225"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We base our expenses related to preclinical studies and clinical trials on our estimates of the services received and efforts expended pursuant to quotes and contracts with multiple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fees, we estimate the time period over which services will be performed, enrollment of</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line="255" w:lineRule="auto"/>
        <w:rPr>
          <w:sz w:val="20"/>
          <w:szCs w:val="20"/>
          <w:color w:val="auto"/>
        </w:rPr>
      </w:pPr>
      <w:r>
        <w:rPr>
          <w:rFonts w:ascii="Arial" w:cs="Arial" w:eastAsia="Arial" w:hAnsi="Arial"/>
          <w:sz w:val="18"/>
          <w:szCs w:val="18"/>
          <w:color w:val="auto"/>
        </w:rPr>
        <w:t>patients, number of sites activated and the level of effort to be expended in each period. If the actual timing of the performance of services or the level of effort varies from our estimate, we adjust the accrual or amount of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 To date, we have not made any material adjustments to our prior estimates of accrued research and development expenses.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measure stock options and other stock-based awards granted to employees and directors based on their fair value on the date of the grant and recognize compensation expense of those awards, net of estimated forfeitures, over the requisite service period, which is generally the vesting period of the respective award. We apply the straight-line method of expense recognition to all awards with only service-based vesting conditions and apply the graded-vesting method to all awards with performance-based vesting conditions or to awards with both service-based and performance-based vesting conditions.</w:t>
      </w:r>
    </w:p>
    <w:p>
      <w:pPr>
        <w:spacing w:after="0" w:line="167" w:lineRule="exact"/>
        <w:rPr>
          <w:sz w:val="20"/>
          <w:szCs w:val="20"/>
          <w:color w:val="auto"/>
        </w:rPr>
      </w:pPr>
    </w:p>
    <w:p>
      <w:pPr>
        <w:ind w:right="320" w:firstLine="351"/>
        <w:spacing w:after="0" w:line="255" w:lineRule="auto"/>
        <w:rPr>
          <w:sz w:val="20"/>
          <w:szCs w:val="20"/>
          <w:color w:val="auto"/>
        </w:rPr>
      </w:pPr>
      <w:r>
        <w:rPr>
          <w:rFonts w:ascii="Arial" w:cs="Arial" w:eastAsia="Arial" w:hAnsi="Arial"/>
          <w:sz w:val="18"/>
          <w:szCs w:val="18"/>
          <w:color w:val="auto"/>
        </w:rPr>
        <w:t>For stock-based awards granted to non-employees, compensation expense is recognized over the period during which services are rendered by such non-employees until completed in accordance with the FASB issued ASU No. 2018-07, Compensation-Stock Compensation (Topic 718): Improvements to Nonemployee Share-Based Payment Accounting. The new standard largely aligns the accounting for share-based payment awards issued to employees and nonemployees by expanding the scope of ASC 718 to apply to nonemployee share-based transactions, as long as the transaction is not effectively a form of financing.</w:t>
      </w:r>
    </w:p>
    <w:p>
      <w:pPr>
        <w:spacing w:after="0" w:line="197"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estimate the fair value of each stock option grant on the date of grant using the Black-Scholes option-pricing model, which uses as inputs the fair value of our common stock and assumptions we make for the volatility of our common stock, the expected term of our stock options, the risk-free interest rate for a period that approximates the expected term of our stock options and our expected dividend yield.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fair value of common stock</w:t>
      </w:r>
    </w:p>
    <w:p>
      <w:pPr>
        <w:spacing w:after="0" w:line="225"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 xml:space="preserve">As a privately held company, there has been no public market for our common stock to date, the estimated fair value of our common stock has been determined by our board of directors as of the date of each option grant,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w:t>
      </w:r>
      <w:r>
        <w:rPr>
          <w:rFonts w:ascii="Arial" w:cs="Arial" w:eastAsia="Arial" w:hAnsi="Arial"/>
          <w:sz w:val="16"/>
          <w:szCs w:val="16"/>
          <w:i w:val="1"/>
          <w:iCs w:val="1"/>
          <w:color w:val="auto"/>
        </w:rPr>
        <w:t>Valuation of Privately-Held-Company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 Issued as Compensation</w:t>
      </w:r>
      <w:r>
        <w:rPr>
          <w:rFonts w:ascii="Arial" w:cs="Arial" w:eastAsia="Arial" w:hAnsi="Arial"/>
          <w:sz w:val="16"/>
          <w:szCs w:val="16"/>
          <w:color w:val="auto"/>
        </w:rPr>
        <w:t>. Our common stock valuations were prepared using a hybrid method, which used market approaches to estimate our enterprise</w:t>
      </w:r>
      <w:r>
        <w:rPr>
          <w:rFonts w:ascii="Arial" w:cs="Arial" w:eastAsia="Arial" w:hAnsi="Arial"/>
          <w:sz w:val="16"/>
          <w:szCs w:val="16"/>
          <w:i w:val="1"/>
          <w:iCs w:val="1"/>
          <w:color w:val="auto"/>
        </w:rPr>
        <w:t xml:space="preserve"> </w:t>
      </w:r>
      <w:r>
        <w:rPr>
          <w:rFonts w:ascii="Arial" w:cs="Arial" w:eastAsia="Arial" w:hAnsi="Arial"/>
          <w:sz w:val="16"/>
          <w:szCs w:val="16"/>
          <w:color w:val="auto"/>
        </w:rPr>
        <w:t>value. The hybrid method is a probability-weighed expected return method, or PWERM, where the equity value in one or more scenarios is calculated using an option-pricing method, or OPM.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 at the time of the liquidity event, such as a strategic sale or a merger. The PWERM is a scenario-based methodology that estimates the fair value of common stock based upon an analysis of future values for the company, assuming various outcomes.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ind w:right="20"/>
        <w:spacing w:after="0" w:line="255" w:lineRule="auto"/>
        <w:rPr>
          <w:sz w:val="20"/>
          <w:szCs w:val="20"/>
          <w:color w:val="auto"/>
        </w:rPr>
      </w:pPr>
      <w:r>
        <w:rPr>
          <w:rFonts w:ascii="Arial" w:cs="Arial" w:eastAsia="Arial" w:hAnsi="Arial"/>
          <w:sz w:val="18"/>
          <w:szCs w:val="18"/>
          <w:color w:val="auto"/>
        </w:rPr>
        <w:t>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These third-party valuations were performed at various dates, which resulted in valuations of our common stock of $0.92 per share as of May 31, 2016, $1.01 per share as of October 2, 2017 and $3.18 per share as of December 31, 2018.</w:t>
      </w:r>
    </w:p>
    <w:p>
      <w:pPr>
        <w:spacing w:after="0" w:line="19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addition to considering the results of these third-party valuations, our board of directors considered various objective and subjective factors to determine the fair value of our common stock as of each grant date, including:</w:t>
      </w:r>
    </w:p>
    <w:p>
      <w:pPr>
        <w:spacing w:after="0" w:line="199" w:lineRule="exact"/>
        <w:rPr>
          <w:sz w:val="20"/>
          <w:szCs w:val="20"/>
          <w:color w:val="auto"/>
        </w:rPr>
      </w:pPr>
    </w:p>
    <w:p>
      <w:pPr>
        <w:ind w:left="1080" w:right="6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prices at which we sold shares of preferred stock and the superior rights and preferences of the preferred stock relative to our common stock at the time of each grant;</w:t>
      </w:r>
    </w:p>
    <w:p>
      <w:pPr>
        <w:spacing w:after="0" w:line="21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progress of our research and development programs, including the status and results of preclinical studies and clinical trials for our product candidates;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stage of development and commercialization and our business strategy;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external market conditions affecting the biopharmaceutical industry and trends within the biopharmaceutical industry;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financial position, including cash on hand, and our historical and forecasted performance and operating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stock and our preferred stock;</w:t>
      </w:r>
    </w:p>
    <w:p>
      <w:pPr>
        <w:spacing w:after="0" w:line="238"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IPO, or sale of our company in light of prevailing market conditions;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analysis of IPOs and the market performance of similar companies in the biopharmaceutical industry.</w:t>
      </w:r>
    </w:p>
    <w:p>
      <w:pPr>
        <w:spacing w:after="0" w:line="225" w:lineRule="exact"/>
        <w:rPr>
          <w:sz w:val="20"/>
          <w:szCs w:val="20"/>
          <w:color w:val="auto"/>
        </w:rPr>
      </w:pPr>
    </w:p>
    <w:p>
      <w:pPr>
        <w:ind w:right="400" w:firstLine="348"/>
        <w:spacing w:after="0" w:line="259" w:lineRule="auto"/>
        <w:rPr>
          <w:sz w:val="20"/>
          <w:szCs w:val="20"/>
          <w:color w:val="auto"/>
        </w:rPr>
      </w:pPr>
      <w:r>
        <w:rPr>
          <w:rFonts w:ascii="Arial" w:cs="Arial" w:eastAsia="Arial" w:hAnsi="Arial"/>
          <w:sz w:val="18"/>
          <w:szCs w:val="18"/>
          <w:color w:val="auto"/>
        </w:rPr>
        <w:t>The assumptions underlying these valuations represented management's best estimate,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Once a public trading market for our common stock has been established in connection with the completion of this offering, it will no longer be necessary for our board of directors to estimate the fair value of our common stock in connection with our accounting for granted stock options and other such awards we may grant, as the fair value of our common stock will be determined based on the quoted market price of our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granted</w:t>
      </w:r>
    </w:p>
    <w:p>
      <w:pPr>
        <w:spacing w:after="0" w:line="225"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following table summarizes by grant date the number of shares subject to options granted between January 1, 2017 and June 30, 2019, the per share exercise price of the options, the fair value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of common stock underlying the options on each grant date, and the per share estimated fair value of the options: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Fair value of</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2"/>
              </w:rPr>
              <w:t>common stock</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Number of shares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4"/>
              </w:rPr>
              <w:t>Per share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per share 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subject to</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date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1"/>
        </w:trPr>
        <w:tc>
          <w:tcPr>
            <w:tcW w:w="4600" w:type="dxa"/>
            <w:vAlign w:val="bottom"/>
            <w:gridSpan w:val="3"/>
          </w:tcPr>
          <w:p>
            <w:pPr>
              <w:spacing w:after="0"/>
              <w:rPr>
                <w:sz w:val="20"/>
                <w:szCs w:val="20"/>
                <w:color w:val="auto"/>
              </w:rPr>
            </w:pPr>
            <w:r>
              <w:rPr>
                <w:rFonts w:ascii="Arial" w:cs="Arial" w:eastAsia="Arial" w:hAnsi="Arial"/>
                <w:sz w:val="14"/>
                <w:szCs w:val="14"/>
                <w:b w:val="1"/>
                <w:bCs w:val="1"/>
                <w:color w:val="auto"/>
              </w:rPr>
              <w:t>Grant date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5"/>
              </w:rPr>
              <w:t>options granted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39"/>
              <w:spacing w:after="0"/>
              <w:rPr>
                <w:sz w:val="20"/>
                <w:szCs w:val="20"/>
                <w:color w:val="auto"/>
              </w:rPr>
            </w:pPr>
            <w:r>
              <w:rPr>
                <w:rFonts w:ascii="Arial" w:cs="Arial" w:eastAsia="Arial" w:hAnsi="Arial"/>
                <w:sz w:val="14"/>
                <w:szCs w:val="14"/>
                <w:b w:val="1"/>
                <w:bCs w:val="1"/>
                <w:color w:val="auto"/>
                <w:w w:val="82"/>
              </w:rPr>
              <w:t>of options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60"/>
              <w:spacing w:after="0"/>
              <w:rPr>
                <w:sz w:val="20"/>
                <w:szCs w:val="20"/>
                <w:color w:val="auto"/>
              </w:rPr>
            </w:pPr>
            <w:r>
              <w:rPr>
                <w:rFonts w:ascii="Arial" w:cs="Arial" w:eastAsia="Arial" w:hAnsi="Arial"/>
                <w:sz w:val="14"/>
                <w:szCs w:val="14"/>
                <w:b w:val="1"/>
                <w:bCs w:val="1"/>
                <w:color w:val="auto"/>
                <w:w w:val="88"/>
              </w:rPr>
              <w:t>option grant</w:t>
            </w:r>
          </w:p>
        </w:tc>
        <w:tc>
          <w:tcPr>
            <w:tcW w:w="16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of options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 2017</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February 16, 2017</w:t>
            </w:r>
          </w:p>
        </w:tc>
        <w:tc>
          <w:tcPr>
            <w:tcW w:w="1200" w:type="dxa"/>
            <w:vAlign w:val="bottom"/>
          </w:tcPr>
          <w:p>
            <w:pPr>
              <w:jc w:val="right"/>
              <w:spacing w:after="0"/>
              <w:rPr>
                <w:sz w:val="20"/>
                <w:szCs w:val="20"/>
                <w:color w:val="auto"/>
              </w:rPr>
            </w:pPr>
            <w:r>
              <w:rPr>
                <w:rFonts w:ascii="Arial" w:cs="Arial" w:eastAsia="Arial" w:hAnsi="Arial"/>
                <w:sz w:val="18"/>
                <w:szCs w:val="18"/>
                <w:color w:val="auto"/>
              </w:rPr>
              <w:t>32,892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0.92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30, 2017</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November 24, 2017</w:t>
            </w:r>
          </w:p>
        </w:tc>
        <w:tc>
          <w:tcPr>
            <w:tcW w:w="1200" w:type="dxa"/>
            <w:vAlign w:val="bottom"/>
          </w:tcPr>
          <w:p>
            <w:pPr>
              <w:jc w:val="right"/>
              <w:spacing w:after="0"/>
              <w:rPr>
                <w:sz w:val="20"/>
                <w:szCs w:val="20"/>
                <w:color w:val="auto"/>
              </w:rPr>
            </w:pPr>
            <w:r>
              <w:rPr>
                <w:rFonts w:ascii="Arial" w:cs="Arial" w:eastAsia="Arial" w:hAnsi="Arial"/>
                <w:sz w:val="18"/>
                <w:szCs w:val="18"/>
                <w:color w:val="auto"/>
              </w:rPr>
              <w:t>353,788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31, 2018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February 28, 2019</w:t>
            </w:r>
          </w:p>
        </w:tc>
        <w:tc>
          <w:tcPr>
            <w:tcW w:w="1200" w:type="dxa"/>
            <w:vAlign w:val="bottom"/>
          </w:tcPr>
          <w:p>
            <w:pPr>
              <w:jc w:val="right"/>
              <w:spacing w:after="0"/>
              <w:rPr>
                <w:sz w:val="20"/>
                <w:szCs w:val="20"/>
                <w:color w:val="auto"/>
              </w:rPr>
            </w:pPr>
            <w:r>
              <w:rPr>
                <w:rFonts w:ascii="Arial" w:cs="Arial" w:eastAsia="Arial" w:hAnsi="Arial"/>
                <w:sz w:val="18"/>
                <w:szCs w:val="18"/>
                <w:color w:val="auto"/>
              </w:rPr>
              <w:t>984,596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account for income taxes using the asset and liability method, which requires the recognition of deferred tax assets and liabilities for the expected future tax consequences of events that have been recognized in the consolidated financial statements or in our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Potential for recovery of deferred tax assets is evaluated by considering several factors, including estimating the future taxable profits expected, estimating future reversals of existing taxable temporary differences, considering taxable profits in carryback periods, and considering prudent and feasible tax planning strategies.</w:t>
      </w:r>
    </w:p>
    <w:p>
      <w:pPr>
        <w:spacing w:after="0" w:line="172"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account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 As of each balance sheet date, we did not have any uncertain tax positions.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and smaller reporting company status</w:t>
      </w:r>
    </w:p>
    <w:p>
      <w:pPr>
        <w:spacing w:after="0" w:line="225"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are an emerging growth company, as defined in the JOBS Act. Under this act, emerging growth companies are permitted to delay adopting new or revised accounting standards applicable to public companies until those standards would otherwise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97"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We may remain classified as an EGC until the end of the fiscal year in which the fifth anniversary of this offering occurs, although if the market value of our common stock that is held by non-affiliates exceeds $700 million as of any June 30 before that time or if we have annual gross revenues of $1.07 billion or more in any fiscal year, we would cease to be an EGC as of December 31 of the applicable year. We also would cease to be an EGC if we issue more than $1 billion of non-convertible debt over a three-year period.</w:t>
      </w:r>
    </w:p>
    <w:p>
      <w:pPr>
        <w:spacing w:after="0" w:line="197"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We are also a "smaller reporting company," as such term is defined in Rule 12b-2 of the Exchange Act, meaning that the market value of our common stock held by non-affiliates plus the proposed aggregate amount of gross proceeds to us as a result of this offering is less than $700 million and our</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8" w:name="page99"/>
    <w:bookmarkEnd w:id="98"/>
    <w:p>
      <w:pPr>
        <w:spacing w:after="0" w:line="290" w:lineRule="auto"/>
        <w:rPr>
          <w:sz w:val="20"/>
          <w:szCs w:val="20"/>
          <w:color w:val="auto"/>
        </w:rPr>
      </w:pPr>
      <w:r>
        <w:rPr>
          <w:rFonts w:ascii="Arial" w:cs="Arial" w:eastAsia="Arial" w:hAnsi="Arial"/>
          <w:sz w:val="16"/>
          <w:szCs w:val="16"/>
          <w:color w:val="auto"/>
        </w:rPr>
        <w:t>annual revenue is less than $100 million during the most recently completed fiscal year. We may continue to be a smaller reporting company after this offering if either (i) the market value of our common stock held by non-affiliates is less than $250 million or (ii) our annual revenue is less than $100 million during the most recently completed fiscal year and the market value of our common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2018 and 2019</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results of operations for the six months ended June 30, 2018 and 2019:</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gridSpan w:val="10"/>
          </w:tcPr>
          <w:p>
            <w:pPr>
              <w:jc w:val="right"/>
              <w:ind w:right="440"/>
              <w:spacing w:after="0"/>
              <w:rPr>
                <w:sz w:val="20"/>
                <w:szCs w:val="20"/>
                <w:color w:val="auto"/>
              </w:rPr>
            </w:pPr>
            <w:r>
              <w:rPr>
                <w:rFonts w:ascii="Arial" w:cs="Arial" w:eastAsia="Arial" w:hAnsi="Arial"/>
                <w:sz w:val="14"/>
                <w:szCs w:val="14"/>
                <w:b w:val="1"/>
                <w:bCs w:val="1"/>
                <w:color w:val="auto"/>
                <w:w w:val="85"/>
              </w:rPr>
              <w:t>Six months ended June 30,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4"/>
          </w:tcPr>
          <w:p>
            <w:pPr>
              <w:jc w:val="right"/>
              <w:ind w:right="277"/>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w w:val="99"/>
              </w:rPr>
              <w:t>7,492,788</w:t>
            </w:r>
          </w:p>
        </w:tc>
        <w:tc>
          <w:tcPr>
            <w:tcW w:w="100" w:type="dxa"/>
            <w:vAlign w:val="bottom"/>
          </w:tcPr>
          <w:p>
            <w:pPr>
              <w:spacing w:after="0"/>
              <w:rPr>
                <w:sz w:val="18"/>
                <w:szCs w:val="18"/>
                <w:color w:val="auto"/>
              </w:rPr>
            </w:pPr>
          </w:p>
        </w:tc>
        <w:tc>
          <w:tcPr>
            <w:tcW w:w="2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7,998,270</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505,482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9"/>
              </w:rPr>
              <w:t>1,166,520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2,347,915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1,181,395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gridSpan w:val="2"/>
          </w:tcPr>
          <w:p>
            <w:pPr>
              <w:ind w:left="1140"/>
              <w:spacing w:after="0"/>
              <w:rPr>
                <w:sz w:val="20"/>
                <w:szCs w:val="20"/>
                <w:color w:val="auto"/>
              </w:rPr>
            </w:pPr>
            <w:r>
              <w:rPr>
                <w:rFonts w:ascii="Arial" w:cs="Arial" w:eastAsia="Arial" w:hAnsi="Arial"/>
                <w:sz w:val="18"/>
                <w:szCs w:val="18"/>
                <w:color w:val="auto"/>
              </w:rPr>
              <w:t>Total operating expenses</w:t>
            </w:r>
          </w:p>
        </w:tc>
        <w:tc>
          <w:tcPr>
            <w:tcW w:w="1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9"/>
              </w:rPr>
              <w:t>8,659,308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10,346,185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1,686,877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(7,439)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(7,251)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gain</w:t>
            </w:r>
          </w:p>
        </w:tc>
        <w:tc>
          <w:tcPr>
            <w:tcW w:w="1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949,158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1,615,974</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666,816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gridSpan w:val="2"/>
          </w:tcPr>
          <w:p>
            <w:pPr>
              <w:ind w:left="1140"/>
              <w:spacing w:after="0"/>
              <w:rPr>
                <w:sz w:val="20"/>
                <w:szCs w:val="20"/>
                <w:color w:val="auto"/>
              </w:rPr>
            </w:pPr>
            <w:r>
              <w:rPr>
                <w:rFonts w:ascii="Arial" w:cs="Arial" w:eastAsia="Arial" w:hAnsi="Arial"/>
                <w:sz w:val="18"/>
                <w:szCs w:val="18"/>
                <w:color w:val="auto"/>
              </w:rPr>
              <w:t>Total other income (expense)</w:t>
            </w:r>
          </w:p>
        </w:tc>
        <w:tc>
          <w:tcPr>
            <w:tcW w:w="1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948,970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1,608,535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659,565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93"/>
              </w:rPr>
              <w:t>(7,710,338)</w:t>
            </w:r>
          </w:p>
        </w:tc>
        <w:tc>
          <w:tcPr>
            <w:tcW w:w="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7"/>
              </w:rPr>
              <w:t>(8,737,650)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(1,027,312)</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Research and development expenses</w:t>
            </w: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70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1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9"/>
          </w:tcPr>
          <w:p>
            <w:pPr>
              <w:jc w:val="right"/>
              <w:ind w:right="240"/>
              <w:spacing w:after="0"/>
              <w:rPr>
                <w:sz w:val="20"/>
                <w:szCs w:val="20"/>
                <w:color w:val="auto"/>
              </w:rPr>
            </w:pPr>
            <w:r>
              <w:rPr>
                <w:rFonts w:ascii="Arial" w:cs="Arial" w:eastAsia="Arial" w:hAnsi="Arial"/>
                <w:sz w:val="14"/>
                <w:szCs w:val="14"/>
                <w:b w:val="1"/>
                <w:bCs w:val="1"/>
                <w:color w:val="auto"/>
                <w:w w:val="90"/>
              </w:rPr>
              <w:t>Six months ended June 30,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Change</w:t>
            </w:r>
          </w:p>
        </w:tc>
        <w:tc>
          <w:tcPr>
            <w:tcW w:w="1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APR-246</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7"/>
              </w:rPr>
              <w:t>5,866,561</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6,314,584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 early-stage development programs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336,144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673,435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337,291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Unallocated research and development expenses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7"/>
              </w:rPr>
              <w:t>1,290,083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1,010,251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(279,832)</w:t>
            </w:r>
          </w:p>
        </w:tc>
        <w:tc>
          <w:tcPr>
            <w:tcW w:w="0" w:type="dxa"/>
            <w:vAlign w:val="bottom"/>
          </w:tcPr>
          <w:p>
            <w:pPr>
              <w:spacing w:after="0"/>
              <w:rPr>
                <w:sz w:val="1"/>
                <w:szCs w:val="1"/>
                <w:color w:val="auto"/>
              </w:rPr>
            </w:pPr>
          </w:p>
        </w:tc>
      </w:tr>
      <w:tr>
        <w:trPr>
          <w:trHeight w:val="210"/>
        </w:trPr>
        <w:tc>
          <w:tcPr>
            <w:tcW w:w="5700" w:type="dxa"/>
            <w:vAlign w:val="bottom"/>
            <w:gridSpan w:val="2"/>
          </w:tcPr>
          <w:p>
            <w:pPr>
              <w:ind w:left="1140"/>
              <w:spacing w:after="0"/>
              <w:rPr>
                <w:sz w:val="20"/>
                <w:szCs w:val="20"/>
                <w:color w:val="auto"/>
              </w:rPr>
            </w:pPr>
            <w:r>
              <w:rPr>
                <w:rFonts w:ascii="Arial" w:cs="Arial" w:eastAsia="Arial" w:hAnsi="Arial"/>
                <w:sz w:val="18"/>
                <w:szCs w:val="18"/>
                <w:color w:val="auto"/>
              </w:rPr>
              <w:t>Total research and development expenses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w w:val="97"/>
              </w:rPr>
              <w:t>7,492,788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7,998,270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505,482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Research and development expenses for the six months ended June 30, 2018 were $7.5 million, compared to $8.0 million for the six months ended June 30, 2019. The increase of $0.5 million was primarily related to the advancement of our clinical product candidate APR-246.</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General and administrative expenses for the six months ended June 30, 2018 were $1.2 million, compared to $2.3 million for the six months ended June 30, 2019. The increase of $1.2 million was primarily related to a $0.9 million increase in legal and accounting fees.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i w:val="1"/>
          <w:iCs w:val="1"/>
          <w:color w:val="auto"/>
        </w:rPr>
        <w:t>Other income and expense</w:t>
      </w:r>
    </w:p>
    <w:p>
      <w:pPr>
        <w:spacing w:after="0" w:line="225"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Foreign currency gain for the six months ended June 30, 2018 was $0.9 million compared to $1.6 million for the six months ended June 30, 2019. The increase of $0.7 million was primarily due to a strengthening of the U.S. dollar against the Swedish Krona during the six months ended June 30, 2019. Interest expense for the six months ended June 30, 2018 and 2019 consisted of an insignificant amount of banking charges or fees and in 2019 interest expense derived from the new lease accounting.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2017 and 2018</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results of operations for the years ended December 31, 2017 and 2018:</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7"/>
              </w:rPr>
              <w:t>Years ended December 31,</w:t>
            </w:r>
          </w:p>
        </w:tc>
        <w:tc>
          <w:tcPr>
            <w:tcW w:w="140" w:type="dxa"/>
            <w:vAlign w:val="bottom"/>
          </w:tcPr>
          <w:p>
            <w:pPr>
              <w:spacing w:after="0"/>
              <w:rPr>
                <w:sz w:val="14"/>
                <w:szCs w:val="14"/>
                <w:color w:val="auto"/>
              </w:rPr>
            </w:pP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13,392,631</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14,194,732</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802,101</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2,459,744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2,294,671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(165,073)</w:t>
            </w:r>
          </w:p>
        </w:tc>
        <w:tc>
          <w:tcPr>
            <w:tcW w:w="0" w:type="dxa"/>
            <w:vAlign w:val="bottom"/>
          </w:tcPr>
          <w:p>
            <w:pPr>
              <w:spacing w:after="0"/>
              <w:rPr>
                <w:sz w:val="1"/>
                <w:szCs w:val="1"/>
                <w:color w:val="auto"/>
              </w:rPr>
            </w:pPr>
          </w:p>
        </w:tc>
      </w:tr>
      <w:tr>
        <w:trPr>
          <w:trHeight w:val="210"/>
        </w:trPr>
        <w:tc>
          <w:tcPr>
            <w:tcW w:w="45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15,852,375</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16,489,403</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637,028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(182)</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gain</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961,316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299,176</w:t>
            </w:r>
          </w:p>
        </w:tc>
        <w:tc>
          <w:tcPr>
            <w:tcW w:w="0" w:type="dxa"/>
            <w:vAlign w:val="bottom"/>
          </w:tcPr>
          <w:p>
            <w:pPr>
              <w:spacing w:after="0"/>
              <w:rPr>
                <w:sz w:val="1"/>
                <w:szCs w:val="1"/>
                <w:color w:val="auto"/>
              </w:rPr>
            </w:pPr>
          </w:p>
        </w:tc>
      </w:tr>
      <w:tr>
        <w:trPr>
          <w:trHeight w:val="210"/>
        </w:trPr>
        <w:tc>
          <w:tcPr>
            <w:tcW w:w="452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662,125</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961,134</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299,009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(15,190,250)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(15,528,269)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(338,019)</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4"/>
              </w:rPr>
              <w:t>Years ended December 31,</w:t>
            </w:r>
          </w:p>
        </w:tc>
        <w:tc>
          <w:tcPr>
            <w:tcW w:w="160" w:type="dxa"/>
            <w:vAlign w:val="bottom"/>
          </w:tcPr>
          <w:p>
            <w:pPr>
              <w:spacing w:after="0"/>
              <w:rPr>
                <w:sz w:val="14"/>
                <w:szCs w:val="14"/>
                <w:color w:val="auto"/>
              </w:rPr>
            </w:pPr>
          </w:p>
        </w:tc>
        <w:tc>
          <w:tcPr>
            <w:tcW w:w="76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w w:val="97"/>
              </w:rPr>
              <w:t>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APR-246</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9,388,373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10,957,970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1,569,597</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Other early-stage development programs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1,243,991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656,692</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(587,299)</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Unallocated research and development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2,760,267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2,580,070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(180,197)</w:t>
            </w:r>
          </w:p>
        </w:tc>
        <w:tc>
          <w:tcPr>
            <w:tcW w:w="0" w:type="dxa"/>
            <w:vAlign w:val="bottom"/>
          </w:tcPr>
          <w:p>
            <w:pPr>
              <w:spacing w:after="0"/>
              <w:rPr>
                <w:sz w:val="1"/>
                <w:szCs w:val="1"/>
                <w:color w:val="auto"/>
              </w:rPr>
            </w:pPr>
          </w:p>
        </w:tc>
      </w:tr>
      <w:tr>
        <w:trPr>
          <w:trHeight w:val="210"/>
        </w:trPr>
        <w:tc>
          <w:tcPr>
            <w:tcW w:w="456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13,392,631</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14,194,732</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802,101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Research and development expenses for the year ended December 31, 2017 were $13.4 million, compared to $14.2 million for the year ended December 31, 2018. The increase of $0.8 million was primarily related to the advancement of our clinical product candidate APR-246.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General and administrative expenses for the year ended December 31, 2017 were $2.5 million, compared to $2.3 million for the year ended December 31, 2018.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and expense</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Other income and expense for the year ended December 31, 2017 consisted of an insignificant amount of banking charges or fees and a foreign currency gain of $0.7 million. Other income and expense for the year ended December 31, 2018 consisted of an insignificant amount of banking fees on our cash balances and a foreign currency gain of $1.0 million.</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Since our inception, we have incurred significant losses on an aggregate basis. We have not yet commercialized any of our product candidates, which are in various phases of preclinical and clinical development, and we do not expect to generate revenue from sales of any products for several years, if at all. To date, we have financed our operations through private placements of our preferred and common stock. Through June 30, 2019, we had received net proceeds of $136.9 million from our sales of preferred and common stock. As of June 30, 2019, we had cash, cash and cash equivalents of $61.0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7"/>
              </w:rPr>
              <w:t>Years ended December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1"/>
              </w:rPr>
              <w:t>Six months ended June 30,</w:t>
            </w: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Operating activities</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(14,002,118)</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(15,250,234)</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(8,246,834)</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(9,797,443)</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(4,734)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(6,189)</w:t>
            </w:r>
          </w:p>
        </w:tc>
      </w:tr>
      <w:tr>
        <w:trPr>
          <w:trHeight w:val="216"/>
        </w:trPr>
        <w:tc>
          <w:tcPr>
            <w:tcW w:w="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23,343,863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56,366,742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5,621,480</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Net increase (decrease) in cash and cash equivalents</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9,341,745</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41,112,806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(8,250,153)</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(4,182,152)</w:t>
            </w: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cash used in operating activities resulted primarily from our net losses adjusted for non-cash charges and changes in components of working capital. Net cash used in operating activities was $8.2 million for the six months ended June 30, 2018 compared to $9.8 million for the six months ended June 30, 2019. The increase in cash used in operating activities of $1.6 million was primarily attributable to an increase in our net loss of $1.0 million and an increase in foreign currency gains of $0.7 million.</w:t>
      </w:r>
    </w:p>
    <w:p>
      <w:pPr>
        <w:spacing w:after="0" w:line="19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Net cash used in operating activities was $15.3 million for the year ended December 31, 2018 compared to $14.0 million for the year ended December 31, 2017. The increase in cash used in operating activities of $1.3 million was primarily attributable to an increase in our net loss of $0.3 million, an increase in non-cash expenses of $0.4 million, resulting primarily from an increase in foreign currency gains of $0.3 million and a decreases in stock-based compensation of $0.1 million, and a decrease in the components of working capital of $0.5 million.</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During the six months ended June 30, 2019 and 2018, we used an insignificant amount of cash in investing activities, consisting of the purchase of property and equipment of $6,189 and $4,734, respectively.</w:t>
      </w:r>
    </w:p>
    <w:p>
      <w:pPr>
        <w:spacing w:after="0" w:line="186" w:lineRule="exact"/>
        <w:rPr>
          <w:sz w:val="20"/>
          <w:szCs w:val="20"/>
          <w:color w:val="auto"/>
        </w:rPr>
      </w:pPr>
    </w:p>
    <w:p>
      <w:pPr>
        <w:ind w:right="580" w:firstLine="351"/>
        <w:spacing w:after="0" w:line="332" w:lineRule="auto"/>
        <w:rPr>
          <w:sz w:val="20"/>
          <w:szCs w:val="20"/>
          <w:color w:val="auto"/>
        </w:rPr>
      </w:pPr>
      <w:r>
        <w:rPr>
          <w:rFonts w:ascii="Arial" w:cs="Arial" w:eastAsia="Arial" w:hAnsi="Arial"/>
          <w:sz w:val="16"/>
          <w:szCs w:val="16"/>
          <w:color w:val="auto"/>
        </w:rPr>
        <w:t>During the year ended December 31, 2018, we used an insignificant amount of cash in investing activities, consisting of the purchase of property and equipment of $3,702. There was no cash used in investing activities during the year ended December 31, 2017.</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expect that investing activities will increase over the next several years.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1" w:name="page102"/>
    <w:bookmarkEnd w:id="101"/>
    <w:p>
      <w:pPr>
        <w:ind w:left="54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Net cash provided by financing activities was $5.6 million for the six months ended June 30, 2019 compared to $1,415 for the six months ended June 30, 2018. The increase in cash provided by financing activities of $5.6 million was primarily attributable to the issuance of Series C convertible preferred stock in February 2019 for net proceeds of $5.6 million.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provided by financing activities was $56.4 million for the year ended December 31, 2018 compared to $23.3 million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The increase in cash provided by financing activities of $33.1 million was attributable to the issuance of Series C convertible preferred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November 2018 for net proceeds of $56.4 million. In October 2017, we issued Series B convertible preferred stock for net proceeds of $23.3 million.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We expect our expenses to increase substantially in connection with our ongoing development activities related to APR-246 and other product candidates and programs which are still in the early stages of clinical development. In addition, commencing upon the completion of this offering, we expect to incur additional costs associated with operating as a public company. We expect that our expenses will increase substantially if and as we:</w:t>
      </w:r>
    </w:p>
    <w:p>
      <w:pPr>
        <w:spacing w:after="0" w:line="174"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conduct our current and future clinical trials and additional preclinical research of APR-246;</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initiate and continue research and preclinical and clinical development of our other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seek to identify and develop additional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seek marketing approvals for any of our product candidates that successfully complete clinical trials, if any;</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establish a sales, marketing, manufacturing and distribution infrastructure to commercialize any products for which we may obtain marketing approval;</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require the manufacture of larger quantities of our product candidates for clinical development and potentially commercialization;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maintain, expand, protect and enforce our intellectual property portfolio;</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acquire or in-license other drugs and technologies;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defend against any claims of infringement, misappropriation or other violation of third-party intellectual property;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hire and retain additional clinical, quality control and scientific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build out new facilities or expand existing facilities to support our ongoing development activity;</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drug development, any future commercialization efforts and our transition to a public company;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225" w:lineRule="exact"/>
        <w:rPr>
          <w:sz w:val="20"/>
          <w:szCs w:val="20"/>
          <w:color w:val="auto"/>
        </w:rPr>
      </w:pPr>
    </w:p>
    <w:p>
      <w:pPr>
        <w:ind w:right="40" w:firstLine="341"/>
        <w:spacing w:after="0" w:line="306" w:lineRule="auto"/>
        <w:rPr>
          <w:sz w:val="20"/>
          <w:szCs w:val="20"/>
          <w:color w:val="auto"/>
        </w:rPr>
      </w:pPr>
      <w:r>
        <w:rPr>
          <w:rFonts w:ascii="Arial" w:cs="Arial" w:eastAsia="Arial" w:hAnsi="Arial"/>
          <w:sz w:val="16"/>
          <w:szCs w:val="16"/>
          <w:color w:val="auto"/>
        </w:rPr>
        <w:t>As of June 30, 2019, we had cash and cash equivalents of $61.0 million. We believe that the anticipated net proceeds from this offering, together with our existing cash and cash equivalents, will enable us to fund our operating expenses and capital expenditure requirements into 2023. We have based this estimate on assumptions that may prove to be wrong, and we could exhaust our available capital resources sooner than we expect.</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2" w:name="page103"/>
    <w:bookmarkEnd w:id="102"/>
    <w:p>
      <w:pPr>
        <w:jc w:val="both"/>
        <w:ind w:right="80" w:firstLine="351"/>
        <w:spacing w:after="0" w:line="256" w:lineRule="auto"/>
        <w:rPr>
          <w:sz w:val="20"/>
          <w:szCs w:val="20"/>
          <w:color w:val="auto"/>
        </w:rPr>
      </w:pPr>
      <w:r>
        <w:rPr>
          <w:rFonts w:ascii="Arial" w:cs="Arial" w:eastAsia="Arial" w:hAnsi="Arial"/>
          <w:sz w:val="18"/>
          <w:szCs w:val="18"/>
          <w:color w:val="auto"/>
        </w:rPr>
        <w:t>Because of the numerous risks and uncertainties associated with the development of APR-246 and other product candidates and programs and because the extent to which we may enter into collaborations with third parties for development of our product candidates is unknown, we are unable to estimate the timing and amounts of increased capital outlays and operating expenses associated with completing the research and development of our product candidates. Our future capital requirements will depend on many factors, including:</w:t>
      </w:r>
    </w:p>
    <w:p>
      <w:pPr>
        <w:spacing w:after="0" w:line="211"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scope, progress, results and costs of our current and future clinical trials of APR-246 for our current targeted indications;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scope, progress, results and costs of drug discovery, preclinical research and clinical trials for APR-246 and our other product candidates;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number of future product candidates that we pursue and their development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5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or maintaining licensing or collaboration arrangements for product candidates on favorable terms, although we currently have no commitments or agreements to complete any such transactions;</w:t>
      </w:r>
    </w:p>
    <w:p>
      <w:pPr>
        <w:spacing w:after="0" w:line="207"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drug sales, marketing, manufacturing and distribution, for any of our product candidates for which we receive marketing approval, to the extent that such sales, marketing, manufacturing and distribution are not the responsibility of any collaborator that we may have at such time;</w:t>
      </w:r>
    </w:p>
    <w:p>
      <w:pPr>
        <w:spacing w:after="0" w:line="207"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amount of revenue, if any, received from commercial sales of our product candidates, should any of our product candidates receive marketing approval;</w:t>
      </w:r>
    </w:p>
    <w:p>
      <w:pPr>
        <w:spacing w:after="0" w:line="212"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protecting and enforcing our intellectual property rights and defending intellectual property-related claims;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our headcount growth and associated costs as we expand our business operations and our research and development activities;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jc w:val="both"/>
        <w:ind w:right="20" w:firstLine="351"/>
        <w:spacing w:after="0" w:line="294" w:lineRule="auto"/>
        <w:rPr>
          <w:sz w:val="20"/>
          <w:szCs w:val="20"/>
          <w:color w:val="auto"/>
        </w:rPr>
      </w:pPr>
      <w:r>
        <w:rPr>
          <w:rFonts w:ascii="Arial" w:cs="Arial" w:eastAsia="Arial" w:hAnsi="Arial"/>
          <w:sz w:val="16"/>
          <w:szCs w:val="16"/>
          <w:color w:val="auto"/>
        </w:rPr>
        <w:t>Developing drug products, including conducting preclinical studies and clinical trials, is a time-consuming, expensive and uncertain process that takes years to complete, and we may never generate the necessary data or results required to obtain marketing approval for any product candidates or generate revenue from the sale of any products for which we may obtain marketing approval. In addition, our product candidates, if approved, may not achieve commercial success. Our commercial revenues, if any, will be derived from sales of drugs that we do not expect to be commercially available for many years, if ever. Accordingly, we will need to obtain substantial additional funds to achieve our business objectives.</w:t>
      </w:r>
    </w:p>
    <w:p>
      <w:pPr>
        <w:spacing w:after="0" w:line="170"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Adequate additional funds may not be available to us on acceptable terms, or at all. We do not currently have any committed external source of funds. To the extent that we raise additional capital through the sale of equity or convertible debt securities, your ownership interest may be diluted, and the terms of these securities may include liquidation or other preferences and anti-dilution protections that could adversely affect your rights as a common stockholder. Additional debt or preferred equity financing, if available, may involve agreements that include restrictive covenants that may limit our ability to take specific actions, such as incurring debt, making capital expenditures or declaring dividends, which could adversely impact our ability to conduct our business, and may require the issuance of warrants, which could potentially dilute your ownership interest.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3" w:name="page104"/>
    <w:bookmarkEnd w:id="103"/>
    <w:p>
      <w:pPr>
        <w:jc w:val="both"/>
        <w:ind w:right="20" w:firstLine="351"/>
        <w:spacing w:after="0" w:line="294" w:lineRule="auto"/>
        <w:rPr>
          <w:sz w:val="20"/>
          <w:szCs w:val="20"/>
          <w:color w:val="auto"/>
        </w:rPr>
      </w:pPr>
      <w:r>
        <w:rPr>
          <w:rFonts w:ascii="Arial" w:cs="Arial" w:eastAsia="Arial" w:hAnsi="Arial"/>
          <w:sz w:val="16"/>
          <w:szCs w:val="16"/>
          <w:color w:val="auto"/>
        </w:rPr>
        <w:t>If we raise additional funds through collaborations, strategic alliances or licensing arrangements with third parties, we may have to relinquish valuable rights to our technology, future revenue streams, research programs, or product candidates or grant licenses on 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product candidates that we would otherwise prefer to develop and market ourselves.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contractual obligations at June 30, 2019:</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ind w:left="540"/>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4"/>
                <w:szCs w:val="14"/>
                <w:b w:val="1"/>
                <w:bCs w:val="1"/>
                <w:color w:val="auto"/>
                <w:w w:val="97"/>
              </w:rPr>
              <w:t>Less than</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22"/>
              <w:spacing w:after="0" w:line="129" w:lineRule="exact"/>
              <w:rPr>
                <w:sz w:val="20"/>
                <w:szCs w:val="20"/>
                <w:color w:val="auto"/>
              </w:rPr>
            </w:pPr>
            <w:r>
              <w:rPr>
                <w:rFonts w:ascii="Arial" w:cs="Arial" w:eastAsia="Arial" w:hAnsi="Arial"/>
                <w:sz w:val="14"/>
                <w:szCs w:val="14"/>
                <w:b w:val="1"/>
                <w:bCs w:val="1"/>
                <w:color w:val="auto"/>
                <w:w w:val="89"/>
              </w:rPr>
              <w:t>More than</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81"/>
              </w:rPr>
              <w:t>1 - 3 years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3 - 5 years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2"/>
              </w:rPr>
              <w:t>5 years</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leases(1)</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310,973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2"/>
              </w:rPr>
              <w:t>122,783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10"/>
        </w:trPr>
        <w:tc>
          <w:tcPr>
            <w:tcW w:w="4420" w:type="dxa"/>
            <w:vAlign w:val="bottom"/>
            <w:gridSpan w:val="3"/>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310,973</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2"/>
              </w:rPr>
              <w:t>122,783</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188,190</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20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680" w:hanging="531"/>
        <w:spacing w:after="0"/>
        <w:tabs>
          <w:tab w:leader="none" w:pos="16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Represents minimum payments due for our lease of office and laboratory space in Boston, Massachusetts under an operating lease agreement that, as amended, expires in 2021.</w:t>
      </w:r>
    </w:p>
    <w:p>
      <w:pPr>
        <w:spacing w:after="0" w:line="229"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enter into contracts in the normal course of business with CROs and CMOs for clinical trials, preclinical research studies and testing, manufacturing and other services and products for operating purposes. These contracts do not contain any minimum purchase commitments and are cancelable by us upon prior notice of 30 days and, as a result, are not included in the table of contractual obligations above. Payments due upon cancelation consist only of payments for services provided and expenses incurred up to the date of cancelation.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connection with the audit of our financial statements, we and our independent registered public accounting firm identified a material weakness in our internal control over financial reporting primarily related to the lack of sufficient skilled employees with U.S. GAAP and SEC reporting knowledge and experience for the purposes of timely and reliable financial reporting. A material weakness is a deficiency, or combination of deficiencies, in internal control over financial reporting such that there is a reasonable possibility that a material misstatement of our annual or interim financial statements will not be prevented or detected and corrected on a timely basis. We are currently establishing more robust processes to strengthen our internal control over financial reporting. See "Risk Factors—In connection with the preparation of our financial statements as of and for the years ended December 31, 2017 and 2018, the Company and our independent registered public accounting firm identified a material weakness in the Company's internal control over financial reporting. If we are not able to remediate the material weakness and otherwise to maintain an effective system of internal control over financial reporting in the future, investors may lose confidence in the accuracy and completeness of our financial reports, and the market price of our common stock could be materially and adversely affected."</w:t>
      </w:r>
    </w:p>
    <w:p>
      <w:pPr>
        <w:spacing w:after="0" w:line="17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are working to remediate the material weakness and are taking steps to strengthen our internal control over financial reporting, such as, for example, the recent hiring of Scott M. Coiante as Chief Financial Officer. Additionally, we plan to further develop and implement formal policies, processes and documentation procedures relating to the financial reporting of the Company. The actions that we are taking are subject to ongoing executive management review, and will also be subject to audit committee oversight.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have reviewed all recently issued standards and have determined that, other than as disclosed in Note 2 to our financial statements appearing at the end of this prospectus, such standards will not have a material impact on our financial statements or do not otherwise apply to our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ind w:right="360" w:firstLine="348"/>
        <w:spacing w:after="0" w:line="259" w:lineRule="auto"/>
        <w:rPr>
          <w:sz w:val="20"/>
          <w:szCs w:val="20"/>
          <w:color w:val="auto"/>
        </w:rPr>
      </w:pPr>
      <w:r>
        <w:rPr>
          <w:rFonts w:ascii="Arial" w:cs="Arial" w:eastAsia="Arial" w:hAnsi="Arial"/>
          <w:sz w:val="18"/>
          <w:szCs w:val="18"/>
          <w:color w:val="auto"/>
        </w:rPr>
        <w:t>We are exposed to market risk related changes in interest rates. As of June 30, 2019, our cash equivalents consisted of bank deposits and money market accounts. Our primary exposure to market risk is interest income sensitivity, which is affected by changes in the general level of U.S. interest rates. However, historical fluctuations in interest income have not been significant for 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225"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We face market risk to the extent that changes in foreign currency exchange rates affect our non-U.S. dollar functional currency foreign subsidiaries' revenues, expenses, assets and liabilities. The financial position and results of operations of our subsidiaries Aprea AB and Aprea Personal AB are measured using the foreign subsidiaries' local currency as the functional currency. Aprea AB cash accounts holding U.S. dollars are remeasured based upon the exchange rate at the date of remeasurement with the resulting gain or loss included in the consolidated statement of operations and comprehensive loss.</w:t>
      </w:r>
    </w:p>
    <w:p>
      <w:pPr>
        <w:spacing w:after="0" w:line="16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Our investments in foreign subsidiaries with a functional currency other than the U.S. dollar are generally considered long-term. In addition, we do not believe that we currently have any significant direct foreign exchange risk. Accordingly, we have not used any derivative financial instruments to hedge exposure to such risk.</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5" w:name="page106"/>
    <w:bookmarkEnd w:id="105"/>
    <w:p>
      <w:pPr>
        <w:jc w:val="center"/>
        <w:ind w:right="4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 xml:space="preserve">We are a clinical-stage biopharmaceutical company focused on developing and commercializing novel cancer therapeutics that reactivate mutant p53 tumor suppressor protein. p53 is the protein expressed from the </w:t>
      </w:r>
      <w:r>
        <w:rPr>
          <w:rFonts w:ascii="Arial" w:cs="Arial" w:eastAsia="Arial" w:hAnsi="Arial"/>
          <w:sz w:val="16"/>
          <w:szCs w:val="16"/>
          <w:i w:val="1"/>
          <w:iCs w:val="1"/>
          <w:color w:val="auto"/>
        </w:rPr>
        <w:t>TP53</w:t>
      </w:r>
      <w:r>
        <w:rPr>
          <w:rFonts w:ascii="Arial" w:cs="Arial" w:eastAsia="Arial" w:hAnsi="Arial"/>
          <w:sz w:val="16"/>
          <w:szCs w:val="16"/>
          <w:color w:val="auto"/>
        </w:rPr>
        <w:t xml:space="preserve"> gene, the most commonly mutated gene in cancer. We believe that mutant p53 is an attractive therapeutic target due to the high incidence of p53 mutations across a range of cancer types and its involvement in key cellular activities such as apoptosis. Cancer patients with mutant p53 face a significantly inferior prognosis even when treated with the current standard of care, and a large unmet need for these patients remains. Our lead product candidate, APR-246, is a small molecule p53 reactivator that is in late-stage clinical development for hematologic malignancies, including myelodysplastic syndromes, or MDS, and acute myeloid leukemia, or AML. APR-246 has received Orphan Drug and Fast Track designations from the FDA for MDS, and Orphan Drug designation from the EMA for MDS, AML and ovarian cancer, and we believe APR-246 will be a first-in-class therapy if approved by applicable regulators. We have commenced a pivotal Phase 3 trial of APR-246 with azacitidine for frontline treatment of </w:t>
      </w:r>
      <w:r>
        <w:rPr>
          <w:rFonts w:ascii="Arial" w:cs="Arial" w:eastAsia="Arial" w:hAnsi="Arial"/>
          <w:sz w:val="16"/>
          <w:szCs w:val="16"/>
          <w:i w:val="1"/>
          <w:iCs w:val="1"/>
          <w:color w:val="auto"/>
        </w:rPr>
        <w:t>TP53</w:t>
      </w:r>
      <w:r>
        <w:rPr>
          <w:rFonts w:ascii="Arial" w:cs="Arial" w:eastAsia="Arial" w:hAnsi="Arial"/>
          <w:sz w:val="16"/>
          <w:szCs w:val="16"/>
          <w:color w:val="auto"/>
        </w:rPr>
        <w:t xml:space="preserve"> mutant MDS and expect initial data from this trial in the second half of 2020. Our pivotal Phase 3 trial is supported by data from two ongoing Phase 1b/2 investigator initiated trials, one in the U.S. and one in France, testing APR-246 with azacitidine as frontline treatment in </w:t>
      </w:r>
      <w:r>
        <w:rPr>
          <w:rFonts w:ascii="Arial" w:cs="Arial" w:eastAsia="Arial" w:hAnsi="Arial"/>
          <w:sz w:val="16"/>
          <w:szCs w:val="16"/>
          <w:i w:val="1"/>
          <w:iCs w:val="1"/>
          <w:color w:val="auto"/>
        </w:rPr>
        <w:t>TP53</w:t>
      </w:r>
      <w:r>
        <w:rPr>
          <w:rFonts w:ascii="Arial" w:cs="Arial" w:eastAsia="Arial" w:hAnsi="Arial"/>
          <w:sz w:val="16"/>
          <w:szCs w:val="16"/>
          <w:color w:val="auto"/>
        </w:rPr>
        <w:t xml:space="preserve"> mutant MDS and AML patients.</w:t>
      </w:r>
    </w:p>
    <w:p>
      <w:pPr>
        <w:spacing w:after="0" w:line="177"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 xml:space="preserve">In the ongoing U.S. Phase 1b/2 trial, sponsored by Dr. David Sallman of the H. Lee Moffitt Cancer Center and Research Institute, or Moffitt, we have observed an objective response rate, or ORR, of 88% and a complete remission, or CR, rate of 59% in 41 response-evaluable MDS/AML patients treated with APR-246 and azacitidine, as of July 2019 and we expect a final CR endpoint in the second half of 2019. In MDS patients, the CR rate was 61%, with an additional 27% achieving non-CR responses. In AML patients, the CR rate was 50%, with an additional 38% achieving non-CR responses. In addition, 46% of evaluable patients were able to discontinue treatment in order to proceed to allogeneic hematopoietic stem cell transplantation, or allo-HCT. Allo-HCT is currently the only recognized therapy believed to increase the likelihood of long term survival for </w:t>
      </w:r>
      <w:r>
        <w:rPr>
          <w:rFonts w:ascii="Arial" w:cs="Arial" w:eastAsia="Arial" w:hAnsi="Arial"/>
          <w:sz w:val="16"/>
          <w:szCs w:val="16"/>
          <w:i w:val="1"/>
          <w:iCs w:val="1"/>
          <w:color w:val="auto"/>
        </w:rPr>
        <w:t>TP53</w:t>
      </w:r>
      <w:r>
        <w:rPr>
          <w:rFonts w:ascii="Arial" w:cs="Arial" w:eastAsia="Arial" w:hAnsi="Arial"/>
          <w:sz w:val="16"/>
          <w:szCs w:val="16"/>
          <w:color w:val="auto"/>
        </w:rPr>
        <w:t xml:space="preserve"> mutant MDS and AML patients in remission. In the ongoing French Phase 1b/2 trial, sponsored by Groupe Francophone des Myelodysplasies, or GFM, under lead investigator Prof. Pierre Fenaux, we have observed an ORR of 75% and a CR rate of 56% in 16 response-evaluable patients treated with APR-246 and azacitidine, as of July 2019 and we expect a final CR endpoint in the first half of 2020. In MDS patients, the CR rate was 55%, with an additional 18% achieving non-CR responses. In AML patients, the CR rate was 60%, with an additional 20% achieving non-CR responses. We expect the results of our pivotal Phase 3 trial and the U.S. and French Phase 1b/2 trials will be submitted in support of marketing applications to the FDA and EMA. We are also developing a next-generation small molecule p53 reactivator, APR-548, for potential use in multiple hematologic malignancies and other oncologic indications, and expect to file an IND with the FDA in the first half of 2020. We have assembled a management team with extensive experience in the discovery and development of novel oncology drugs. Our management team is supported by our world-class scientific advisors and leading life science investors in their mission to successfully develop p53-reactivating therapies for cancer patients.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6" w:name="page107"/>
    <w:bookmarkEnd w:id="106"/>
    <w:p>
      <w:pPr>
        <w:ind w:left="360"/>
        <w:spacing w:after="0"/>
        <w:rPr>
          <w:sz w:val="20"/>
          <w:szCs w:val="20"/>
          <w:color w:val="auto"/>
        </w:rPr>
      </w:pPr>
      <w:r>
        <w:rPr>
          <w:rFonts w:ascii="Arial" w:cs="Arial" w:eastAsia="Arial" w:hAnsi="Arial"/>
          <w:sz w:val="16"/>
          <w:szCs w:val="16"/>
          <w:color w:val="auto"/>
        </w:rPr>
        <w:t>Our lead programs are summarized below. We currently retain global development and commercialization rights to all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3773170</wp:posOffset>
            </wp:positionV>
            <wp:extent cx="19037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40" w:hanging="532"/>
        <w:spacing w:after="0"/>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Investigator-initiated trial</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With or without azacitidine</w:t>
      </w:r>
    </w:p>
    <w:p>
      <w:pPr>
        <w:spacing w:after="0" w:line="206"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believe that targeting p53 and thereby reactivating key intrinsic cellular functions has the potential to significantly impact patients' lives and treatment strategies for a wide variety of cancers. p53 is a tumor suppressor protein that in its normal state functions to sense DNA damage and induce cell cycle arrest, DNA damage repair, senescence and cellular apoptosis. Mutant p53 is an attractive target because it is widely mutated across hematologic and solid tumors and is associated with an aggressive clinical and molecular phenotype. In preclinical studies and clinical trials, mutations in p53 and the apoptotic pathway have been shown to play a key role in cancer genesis, proliferation and resistance to currently marketed therapeutic agents. Many approved and clinical stage oncology drugs are more effective with a functional p53 pathway. Our approach is to restore normal function to p53, thereby re-enabling a cell's ability to undergo apoptosis. Accordingly, we believe that by targeting p53, our drug candidates may enhance the ability of other anti-cancer therapies to induce cancer cell death. In addition, we believe that our approach may counteract resistance mechanisms that characterize many of the most aggressive cancers. Although we have observed single agent activity in preclinical testing of APR-246, our current clinical program is focused on combination therapy based on the strong additive or synergistic effects we have observed in combination with multiple conventional chemotherapeutic drugs, DNA hypomethylating agents, or HMAs, inhibitors of anti-apoptotic proteins and immuno-oncology checkpoint blockade agents.</w:t>
      </w:r>
    </w:p>
    <w:p>
      <w:pPr>
        <w:spacing w:after="0" w:line="18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Our lead product candidate, APR-246, is a small molecule that has demonstrated reactivation of mutant p53 in clinical trials. Promising clinical data support the application of APR-246 across a variety of hematologic malignancies and other oncologic indications. APR-246 is a pro-drug that is administered intravenously and forms the active moiety, 2-methylene-quinuclidin-3-one, or MQ, under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7" w:name="page108"/>
    <w:bookmarkEnd w:id="107"/>
    <w:p>
      <w:pPr>
        <w:jc w:val="both"/>
        <w:ind w:right="220"/>
        <w:spacing w:after="0" w:line="256" w:lineRule="auto"/>
        <w:rPr>
          <w:sz w:val="20"/>
          <w:szCs w:val="20"/>
          <w:color w:val="auto"/>
        </w:rPr>
      </w:pPr>
      <w:r>
        <w:rPr>
          <w:rFonts w:ascii="Arial" w:cs="Arial" w:eastAsia="Arial" w:hAnsi="Arial"/>
          <w:sz w:val="18"/>
          <w:szCs w:val="18"/>
          <w:color w:val="auto"/>
        </w:rPr>
        <w:t>physiological conditions. APR-246 has been shown to induce apoptosis in cancer cells with mutant p53 in Phase 1/2 trials. We believe the mechanism of action and current adverse event profile of APR-246 may provide the basis for its combination with both conventional and novel therapies, such as targeted therapies, chemotherapy, radiotherapy and immuno-therapy. APR-246 has received Orphan Drug and Fast Track designations from the FDA for MDS, and Orphan Drug designation from the EMA for MDS, AML and ovarian cancer.</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conducting and supporting multiple clinical trials of APR-246:</w:t>
      </w:r>
    </w:p>
    <w:p>
      <w:pPr>
        <w:spacing w:after="0" w:line="233" w:lineRule="exact"/>
        <w:rPr>
          <w:sz w:val="20"/>
          <w:szCs w:val="20"/>
          <w:color w:val="auto"/>
        </w:rPr>
      </w:pPr>
    </w:p>
    <w:p>
      <w:pPr>
        <w:ind w:left="1080" w:hanging="532"/>
        <w:spacing w:after="0" w:line="256"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Pivotal Phase 3 MDS Trial—</w:t>
      </w:r>
      <w:r>
        <w:rPr>
          <w:rFonts w:ascii="Arial" w:cs="Arial" w:eastAsia="Arial" w:hAnsi="Arial"/>
          <w:sz w:val="18"/>
          <w:szCs w:val="18"/>
          <w:color w:val="auto"/>
        </w:rPr>
        <w:t>We are currently enrolling a pivotal Phase 3 randomized, controlled trial evaluating APR-246 with azacitidine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frontline therapy in HMA-naïve </w:t>
      </w:r>
      <w:r>
        <w:rPr>
          <w:rFonts w:ascii="Arial" w:cs="Arial" w:eastAsia="Arial" w:hAnsi="Arial"/>
          <w:sz w:val="18"/>
          <w:szCs w:val="18"/>
          <w:i w:val="1"/>
          <w:iCs w:val="1"/>
          <w:color w:val="auto"/>
        </w:rPr>
        <w:t>TP53</w:t>
      </w:r>
      <w:r>
        <w:rPr>
          <w:rFonts w:ascii="Arial" w:cs="Arial" w:eastAsia="Arial" w:hAnsi="Arial"/>
          <w:sz w:val="18"/>
          <w:szCs w:val="18"/>
          <w:color w:val="auto"/>
        </w:rPr>
        <w:t xml:space="preserve"> mutant MDS patients. The trial has a target enrollment of 154 patients randomized in a 1:1 ratio to either the azacitidine control arm or to the APR-246 + azacitidine experimental arm, with a primary endpoint of CR rate. The first patient was enrolled in January 2019 and we anticipate full enrollment in our Phase 3 trial in the first quarter of 2020 and top-line data from this trial in the second half of 2020.</w:t>
      </w:r>
    </w:p>
    <w:p>
      <w:pPr>
        <w:spacing w:after="0" w:line="219" w:lineRule="exact"/>
        <w:rPr>
          <w:rFonts w:ascii="Arial" w:cs="Arial" w:eastAsia="Arial" w:hAnsi="Arial"/>
          <w:sz w:val="18"/>
          <w:szCs w:val="18"/>
          <w:color w:val="auto"/>
        </w:rPr>
      </w:pPr>
    </w:p>
    <w:p>
      <w:pPr>
        <w:ind w:left="1080" w:right="120" w:hanging="532"/>
        <w:spacing w:after="0" w:line="287"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U.S. Phase 1b/2 MDS/AML Trial—</w:t>
      </w:r>
      <w:r>
        <w:rPr>
          <w:rFonts w:ascii="Arial" w:cs="Arial" w:eastAsia="Arial" w:hAnsi="Arial"/>
          <w:sz w:val="16"/>
          <w:szCs w:val="16"/>
          <w:color w:val="auto"/>
        </w:rPr>
        <w:t>We are supporting an investigator-initiated Phase 1b/2 single-arm, open-label trial in the United States,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sponsored by Dr. David Sallman of the H. Lee Moffitt Cancer Center and Research Institute, or Moffitt, evaluating APR-246 with azacitidine as frontline therapy in HMA-naïve patients with </w:t>
      </w:r>
      <w:r>
        <w:rPr>
          <w:rFonts w:ascii="Arial" w:cs="Arial" w:eastAsia="Arial" w:hAnsi="Arial"/>
          <w:sz w:val="16"/>
          <w:szCs w:val="16"/>
          <w:i w:val="1"/>
          <w:iCs w:val="1"/>
          <w:color w:val="auto"/>
        </w:rPr>
        <w:t>TP53</w:t>
      </w:r>
      <w:r>
        <w:rPr>
          <w:rFonts w:ascii="Arial" w:cs="Arial" w:eastAsia="Arial" w:hAnsi="Arial"/>
          <w:sz w:val="16"/>
          <w:szCs w:val="16"/>
          <w:color w:val="auto"/>
        </w:rPr>
        <w:t xml:space="preserve"> mutant MDS or AML. We are collaborating with Moffitt on this trial by supplying APR-246, in addition to providing financial support. The primary endpoint of the trial is CR rate and enrollment has completed with 55 patients. Top-line results on the CR rate primary endpoint and median duration of response are expected in the second half of 2019. The regimen achieved an ORR of 88% and a CR rate of 59% in 41 response-evaluable patients as of July 2019. In MDS patients, the CR rate was 61%, with an additional 27% achieving non-CR responses. In AML patients, the CR rate was 50%, with an additional 38% achieving non-CR responses. In addition, 46% of evaluable MDS/AML patients were able to discontinue treatment in order to proceed to allo-HCT. By intention-to-treat analysis, and with a median follow up of 10.5 months, median OS was 11.6 months (95% confidence interval: 9.2 – 14.0 months) with significantly prolonged OS of 12.8 months in responding patients versus 3.9 months in non-responding patients (p &lt; 0.0001). Analysis of peer-reviewed published data in </w:t>
      </w:r>
      <w:r>
        <w:rPr>
          <w:rFonts w:ascii="Arial" w:cs="Arial" w:eastAsia="Arial" w:hAnsi="Arial"/>
          <w:sz w:val="16"/>
          <w:szCs w:val="16"/>
          <w:i w:val="1"/>
          <w:iCs w:val="1"/>
          <w:color w:val="auto"/>
        </w:rPr>
        <w:t>TP53</w:t>
      </w:r>
      <w:r>
        <w:rPr>
          <w:rFonts w:ascii="Arial" w:cs="Arial" w:eastAsia="Arial" w:hAnsi="Arial"/>
          <w:sz w:val="16"/>
          <w:szCs w:val="16"/>
          <w:color w:val="auto"/>
        </w:rPr>
        <w:t xml:space="preserve"> mutant MDS and AML suggests frontline azacitidine monotherapy provides an ORR of 40-50% for AML, CR rates of approximately 20% and median OS of 7-8 months.</w:t>
      </w:r>
    </w:p>
    <w:p>
      <w:pPr>
        <w:spacing w:after="0" w:line="182" w:lineRule="exact"/>
        <w:rPr>
          <w:rFonts w:ascii="Arial" w:cs="Arial" w:eastAsia="Arial" w:hAnsi="Arial"/>
          <w:sz w:val="16"/>
          <w:szCs w:val="16"/>
          <w:color w:val="auto"/>
        </w:rPr>
      </w:pPr>
    </w:p>
    <w:p>
      <w:pPr>
        <w:ind w:left="1080" w:right="20" w:hanging="532"/>
        <w:spacing w:after="0" w:line="289"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French Phase 1b/2 MDS/AML Trial—</w:t>
      </w:r>
      <w:r>
        <w:rPr>
          <w:rFonts w:ascii="Arial" w:cs="Arial" w:eastAsia="Arial" w:hAnsi="Arial"/>
          <w:sz w:val="16"/>
          <w:szCs w:val="16"/>
          <w:color w:val="auto"/>
        </w:rPr>
        <w:t>We are supporting a parallel investigator-initiated Phase 1b/2 single-arm, open-label trial in France,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sponsored by Groupe Francophone des Myelodysplasies, or GFM, under lead investigator Prof. Pierre Fenaux, evaluating APR-246 with azacitidine as frontline therapy in HMA-naïve patients with </w:t>
      </w:r>
      <w:r>
        <w:rPr>
          <w:rFonts w:ascii="Arial" w:cs="Arial" w:eastAsia="Arial" w:hAnsi="Arial"/>
          <w:sz w:val="16"/>
          <w:szCs w:val="16"/>
          <w:i w:val="1"/>
          <w:iCs w:val="1"/>
          <w:color w:val="auto"/>
        </w:rPr>
        <w:t>TP53</w:t>
      </w:r>
      <w:r>
        <w:rPr>
          <w:rFonts w:ascii="Arial" w:cs="Arial" w:eastAsia="Arial" w:hAnsi="Arial"/>
          <w:sz w:val="16"/>
          <w:szCs w:val="16"/>
          <w:color w:val="auto"/>
        </w:rPr>
        <w:t xml:space="preserve"> mutant MDS or AML. We are collaborating with GFM on this trial by supplying APR-246, in addition to providing financial support. The primary endpoint of the trial is CR rate and enrollment has completed with 53 patients. Top-line results on the CR rate primary endpoint are expected in the first half of 2020. All patients are to receive the recommended Phase 2 dose from the U.S. Phase 1b/2 MDS/AML Trial. As of July 2019, the regimen has achieved an ORR of 75% and CR rate of 56% in 16 response-evaluable patients. In MDS patients, the CR rate was 55%, with an additional 18% achieving non-CR responses. In AML patients, the CR rate was 60%, with an additional 20% achieving non-CR responses. Responding patients who proceed to allo-HCT are eligible to continue receiving APR-246 with azacitidine as post-transplant maintenance therapy.</w:t>
      </w:r>
    </w:p>
    <w:p>
      <w:pPr>
        <w:spacing w:after="0" w:line="180" w:lineRule="exact"/>
        <w:rPr>
          <w:rFonts w:ascii="Arial" w:cs="Arial" w:eastAsia="Arial" w:hAnsi="Arial"/>
          <w:sz w:val="16"/>
          <w:szCs w:val="16"/>
          <w:color w:val="auto"/>
        </w:rPr>
      </w:pPr>
    </w:p>
    <w:p>
      <w:pPr>
        <w:ind w:left="1080" w:right="80" w:hanging="532"/>
        <w:spacing w:after="0" w:line="339"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Phase 2 MDS/AML Post-Transplant Trial—</w:t>
      </w:r>
      <w:r>
        <w:rPr>
          <w:rFonts w:ascii="Arial" w:cs="Arial" w:eastAsia="Arial" w:hAnsi="Arial"/>
          <w:sz w:val="16"/>
          <w:szCs w:val="16"/>
          <w:color w:val="auto"/>
        </w:rPr>
        <w:t>We are currently enrolling our single-arm, open-label Phase 2 trial evaluating APR-246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azacitidine as post-transplant maintenance therapy in </w:t>
      </w:r>
      <w:r>
        <w:rPr>
          <w:rFonts w:ascii="Arial" w:cs="Arial" w:eastAsia="Arial" w:hAnsi="Arial"/>
          <w:sz w:val="16"/>
          <w:szCs w:val="16"/>
          <w:i w:val="1"/>
          <w:iCs w:val="1"/>
          <w:color w:val="auto"/>
        </w:rPr>
        <w:t>TP53</w:t>
      </w:r>
      <w:r>
        <w:rPr>
          <w:rFonts w:ascii="Arial" w:cs="Arial" w:eastAsia="Arial" w:hAnsi="Arial"/>
          <w:sz w:val="16"/>
          <w:szCs w:val="16"/>
          <w:color w:val="auto"/>
        </w:rPr>
        <w:t xml:space="preserve"> mutant MDS and AML patients who have received allo-HCT. The primary endpoint is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ind w:left="1080" w:right="200"/>
        <w:spacing w:after="0" w:line="306" w:lineRule="auto"/>
        <w:rPr>
          <w:sz w:val="20"/>
          <w:szCs w:val="20"/>
          <w:color w:val="auto"/>
        </w:rPr>
      </w:pPr>
      <w:r>
        <w:rPr>
          <w:rFonts w:ascii="Arial" w:cs="Arial" w:eastAsia="Arial" w:hAnsi="Arial"/>
          <w:sz w:val="16"/>
          <w:szCs w:val="16"/>
          <w:color w:val="auto"/>
        </w:rPr>
        <w:t xml:space="preserve">relapse-free survival at 12 months. Target enrollment is 31 patients and we anticipate full enrollment in the second half of 2020. Analysis of the historical, peer-reviewed published data in </w:t>
      </w:r>
      <w:r>
        <w:rPr>
          <w:rFonts w:ascii="Arial" w:cs="Arial" w:eastAsia="Arial" w:hAnsi="Arial"/>
          <w:sz w:val="16"/>
          <w:szCs w:val="16"/>
          <w:i w:val="1"/>
          <w:iCs w:val="1"/>
          <w:color w:val="auto"/>
        </w:rPr>
        <w:t>TP53</w:t>
      </w:r>
      <w:r>
        <w:rPr>
          <w:rFonts w:ascii="Arial" w:cs="Arial" w:eastAsia="Arial" w:hAnsi="Arial"/>
          <w:sz w:val="16"/>
          <w:szCs w:val="16"/>
          <w:color w:val="auto"/>
        </w:rPr>
        <w:t xml:space="preserve"> mutant MDS and AML patients who undergo bone marrow transplant suggests that </w:t>
      </w:r>
      <w:r>
        <w:rPr>
          <w:rFonts w:ascii="Arial" w:cs="Arial" w:eastAsia="Arial" w:hAnsi="Arial"/>
          <w:sz w:val="16"/>
          <w:szCs w:val="16"/>
          <w:i w:val="1"/>
          <w:iCs w:val="1"/>
          <w:color w:val="auto"/>
        </w:rPr>
        <w:t>TP53</w:t>
      </w:r>
      <w:r>
        <w:rPr>
          <w:rFonts w:ascii="Arial" w:cs="Arial" w:eastAsia="Arial" w:hAnsi="Arial"/>
          <w:sz w:val="16"/>
          <w:szCs w:val="16"/>
          <w:color w:val="auto"/>
        </w:rPr>
        <w:t xml:space="preserve"> mutation is associated with a 4-fold increased risk of death following transplantation and a 1-year relapse-free survival of only 30%.</w:t>
      </w:r>
    </w:p>
    <w:p>
      <w:pPr>
        <w:spacing w:after="0" w:line="168" w:lineRule="exact"/>
        <w:rPr>
          <w:sz w:val="20"/>
          <w:szCs w:val="20"/>
          <w:color w:val="auto"/>
        </w:rPr>
      </w:pPr>
    </w:p>
    <w:p>
      <w:pPr>
        <w:ind w:left="1080" w:right="300" w:hanging="532"/>
        <w:spacing w:after="0" w:line="262"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Phase 1/2 AML Trials—</w:t>
      </w:r>
      <w:r>
        <w:rPr>
          <w:rFonts w:ascii="Arial" w:cs="Arial" w:eastAsia="Arial" w:hAnsi="Arial"/>
          <w:sz w:val="18"/>
          <w:szCs w:val="18"/>
          <w:color w:val="auto"/>
        </w:rPr>
        <w:t>Based 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vitro</w:t>
      </w:r>
      <w:r>
        <w:rPr>
          <w:rFonts w:ascii="Arial" w:cs="Arial" w:eastAsia="Arial" w:hAnsi="Arial"/>
          <w:sz w:val="18"/>
          <w:szCs w:val="18"/>
          <w:b w:val="1"/>
          <w:bCs w:val="1"/>
          <w:color w:val="auto"/>
        </w:rPr>
        <w:t xml:space="preserve"> </w:t>
      </w:r>
      <w:r>
        <w:rPr>
          <w:rFonts w:ascii="Arial" w:cs="Arial" w:eastAsia="Arial" w:hAnsi="Arial"/>
          <w:sz w:val="18"/>
          <w:szCs w:val="18"/>
          <w:color w:val="auto"/>
        </w:rPr>
        <w:t>data evidencing synergistic activity between APR-246 and a Bcl-2 inhibitor, we have designed and</w:t>
      </w:r>
      <w:r>
        <w:rPr>
          <w:rFonts w:ascii="Arial" w:cs="Arial" w:eastAsia="Arial" w:hAnsi="Arial"/>
          <w:sz w:val="18"/>
          <w:szCs w:val="18"/>
          <w:b w:val="1"/>
          <w:bCs w:val="1"/>
          <w:color w:val="auto"/>
        </w:rPr>
        <w:t xml:space="preserve"> </w:t>
      </w:r>
      <w:r>
        <w:rPr>
          <w:rFonts w:ascii="Arial" w:cs="Arial" w:eastAsia="Arial" w:hAnsi="Arial"/>
          <w:sz w:val="18"/>
          <w:szCs w:val="18"/>
          <w:color w:val="auto"/>
        </w:rPr>
        <w:t>plan to conduct Phase 1/2 clinical trials in frontline and relapsed/refractory AML assessing APR-246 with a Bcl-2 inhibitor with or without azacitidine. We anticipate the first patient to be enrolled in the fourth quarter of 2019.</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second product candidate, APR-548, is a next-generation p53 reactivator with the potential for oral administration. APR-548 is a unique analog of APR-</w:t>
      </w:r>
    </w:p>
    <w:p>
      <w:pPr>
        <w:spacing w:after="0" w:line="38" w:lineRule="exact"/>
        <w:rPr>
          <w:sz w:val="20"/>
          <w:szCs w:val="20"/>
          <w:color w:val="auto"/>
        </w:rPr>
      </w:pPr>
    </w:p>
    <w:p>
      <w:pPr>
        <w:jc w:val="both"/>
        <w:ind w:right="420"/>
        <w:spacing w:after="0" w:line="323" w:lineRule="auto"/>
        <w:rPr>
          <w:sz w:val="20"/>
          <w:szCs w:val="20"/>
          <w:color w:val="auto"/>
        </w:rPr>
      </w:pPr>
      <w:r>
        <w:rPr>
          <w:rFonts w:ascii="Arial" w:cs="Arial" w:eastAsia="Arial" w:hAnsi="Arial"/>
          <w:sz w:val="16"/>
          <w:szCs w:val="16"/>
          <w:color w:val="auto"/>
        </w:rPr>
        <w:t>246 and therefore a pro-drug of MQ. APR-548 exhibits high oral bioavailability in preclinical testing and is being developed in an oral dosage form. We are currently conducting Investigational New Drug, or IND, enabling preclinical studies of APR-548 and anticipate submitting an IND in the first half of 2020.</w:t>
      </w:r>
    </w:p>
    <w:p>
      <w:pPr>
        <w:spacing w:after="0" w:line="147"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have assembled an outstanding team, which includes world-class scientific and clinical oncology leaders, to execute on our mission to create novel p53-reactivating therapies to help patients suffering with cancer. Together with our board of directors, our scientific founders and members of our management team have significant experience in drug discovery and development and finance. Collectively, we believe our team's strong capabilities position us to build a leading biotech company focused on developing novel cancer therapies to address the significant unmet medical need of patients with p53 mutant malignancies, for whom there are limited effective therapeutic options.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Our mission is to be the leading player in the development and commercialization of p53-targeted cancer therapies. The key elements of our strategy are to:</w:t>
      </w:r>
    </w:p>
    <w:p>
      <w:pPr>
        <w:spacing w:after="0" w:line="287" w:lineRule="exact"/>
        <w:rPr>
          <w:sz w:val="20"/>
          <w:szCs w:val="20"/>
          <w:color w:val="auto"/>
        </w:rPr>
      </w:pPr>
    </w:p>
    <w:p>
      <w:pPr>
        <w:ind w:left="1080" w:right="40" w:hanging="532"/>
        <w:spacing w:after="0" w:line="298" w:lineRule="auto"/>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Rapidly develop and commercialize our lead mutant p53 reactivator, APR-246, in frontline combination therapy for TP53 mutant MDS. </w:t>
      </w:r>
      <w:r>
        <w:rPr>
          <w:rFonts w:ascii="Arial" w:cs="Arial" w:eastAsia="Arial" w:hAnsi="Arial"/>
          <w:sz w:val="16"/>
          <w:szCs w:val="16"/>
          <w:color w:val="auto"/>
        </w:rPr>
        <w:t>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are currently advancing APR-246 with azacitidine through Phase 3 clinical development in </w:t>
      </w:r>
      <w:r>
        <w:rPr>
          <w:rFonts w:ascii="Arial" w:cs="Arial" w:eastAsia="Arial" w:hAnsi="Arial"/>
          <w:sz w:val="16"/>
          <w:szCs w:val="16"/>
          <w:i w:val="1"/>
          <w:iCs w:val="1"/>
          <w:color w:val="auto"/>
        </w:rPr>
        <w:t>TP53</w:t>
      </w:r>
      <w:r>
        <w:rPr>
          <w:rFonts w:ascii="Arial" w:cs="Arial" w:eastAsia="Arial" w:hAnsi="Arial"/>
          <w:sz w:val="16"/>
          <w:szCs w:val="16"/>
          <w:color w:val="auto"/>
        </w:rPr>
        <w:t xml:space="preserve"> mutant MDS. We are initially targeting frontline </w:t>
      </w:r>
      <w:r>
        <w:rPr>
          <w:rFonts w:ascii="Arial" w:cs="Arial" w:eastAsia="Arial" w:hAnsi="Arial"/>
          <w:sz w:val="16"/>
          <w:szCs w:val="16"/>
          <w:i w:val="1"/>
          <w:iCs w:val="1"/>
          <w:color w:val="auto"/>
        </w:rPr>
        <w:t xml:space="preserve">TP53 </w:t>
      </w:r>
      <w:r>
        <w:rPr>
          <w:rFonts w:ascii="Arial" w:cs="Arial" w:eastAsia="Arial" w:hAnsi="Arial"/>
          <w:sz w:val="16"/>
          <w:szCs w:val="16"/>
          <w:color w:val="auto"/>
        </w:rPr>
        <w:t>mutant MDS, where there are few approved therapies, no approved p53-targeted therapies and a continued high unmet medical need. We</w:t>
      </w:r>
      <w:r>
        <w:rPr>
          <w:rFonts w:ascii="Arial" w:cs="Arial" w:eastAsia="Arial" w:hAnsi="Arial"/>
          <w:sz w:val="16"/>
          <w:szCs w:val="16"/>
          <w:i w:val="1"/>
          <w:iCs w:val="1"/>
          <w:color w:val="auto"/>
        </w:rPr>
        <w:t xml:space="preserve"> </w:t>
      </w:r>
      <w:r>
        <w:rPr>
          <w:rFonts w:ascii="Arial" w:cs="Arial" w:eastAsia="Arial" w:hAnsi="Arial"/>
          <w:sz w:val="16"/>
          <w:szCs w:val="16"/>
          <w:color w:val="auto"/>
        </w:rPr>
        <w:t>believe the data generated to date support compelling clinical activity in this underserved patient population.</w:t>
      </w:r>
    </w:p>
    <w:p>
      <w:pPr>
        <w:spacing w:after="0" w:line="180" w:lineRule="exact"/>
        <w:rPr>
          <w:rFonts w:ascii="Arial" w:cs="Arial" w:eastAsia="Arial" w:hAnsi="Arial"/>
          <w:sz w:val="16"/>
          <w:szCs w:val="16"/>
          <w:color w:val="auto"/>
        </w:rPr>
      </w:pPr>
    </w:p>
    <w:p>
      <w:pPr>
        <w:ind w:left="1080" w:right="40" w:hanging="532"/>
        <w:spacing w:after="0" w:line="294" w:lineRule="auto"/>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the clinical opportunity for APR-246 by pursuing development of combination therapy for post-transplant maintenance in TP53 mutant MDS and AML. </w:t>
      </w:r>
      <w:r>
        <w:rPr>
          <w:rFonts w:ascii="Arial" w:cs="Arial" w:eastAsia="Arial" w:hAnsi="Arial"/>
          <w:sz w:val="16"/>
          <w:szCs w:val="16"/>
          <w:color w:val="auto"/>
        </w:rPr>
        <w:t>Allo-HCT is currently considered the only curative option for patients with</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TP53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mutant MDS/AML, and even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transplantation the outcomes for these patients remain poor. We are currently advancing APR-246 as post-transplant maintenance therapy in </w:t>
      </w:r>
      <w:r>
        <w:rPr>
          <w:rFonts w:ascii="Arial" w:cs="Arial" w:eastAsia="Arial" w:hAnsi="Arial"/>
          <w:sz w:val="16"/>
          <w:szCs w:val="16"/>
          <w:i w:val="1"/>
          <w:iCs w:val="1"/>
          <w:color w:val="auto"/>
        </w:rPr>
        <w:t>TP53</w:t>
      </w:r>
      <w:r>
        <w:rPr>
          <w:rFonts w:ascii="Arial" w:cs="Arial" w:eastAsia="Arial" w:hAnsi="Arial"/>
          <w:sz w:val="16"/>
          <w:szCs w:val="16"/>
          <w:color w:val="auto"/>
        </w:rPr>
        <w:t xml:space="preserve"> mutant MDS and AML in the French Phase 1b/2 MDS/AML Trial and our Phase 2 MDS/AML Post-Transplant Trial. We believe that this approach may offer an opportunity to quickly expand the commercial potential of APR-246.</w:t>
      </w:r>
    </w:p>
    <w:p>
      <w:pPr>
        <w:spacing w:after="0" w:line="183" w:lineRule="exact"/>
        <w:rPr>
          <w:rFonts w:ascii="Arial" w:cs="Arial" w:eastAsia="Arial" w:hAnsi="Arial"/>
          <w:sz w:val="16"/>
          <w:szCs w:val="16"/>
          <w:color w:val="auto"/>
        </w:rPr>
      </w:pPr>
    </w:p>
    <w:p>
      <w:pPr>
        <w:ind w:left="1080" w:right="20" w:hanging="532"/>
        <w:spacing w:after="0" w:line="255"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Rapidly develop APR-246 for frontline and relapsed/refractory TP53 mutant AML. </w:t>
      </w:r>
      <w:r>
        <w:rPr>
          <w:rFonts w:ascii="Arial" w:cs="Arial" w:eastAsia="Arial" w:hAnsi="Arial"/>
          <w:sz w:val="18"/>
          <w:szCs w:val="18"/>
          <w:color w:val="auto"/>
        </w:rPr>
        <w:t>We are currently advancing the clinical development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APR-246 in frontline </w:t>
      </w:r>
      <w:r>
        <w:rPr>
          <w:rFonts w:ascii="Arial" w:cs="Arial" w:eastAsia="Arial" w:hAnsi="Arial"/>
          <w:sz w:val="18"/>
          <w:szCs w:val="18"/>
          <w:i w:val="1"/>
          <w:iCs w:val="1"/>
          <w:color w:val="auto"/>
        </w:rPr>
        <w:t>TP53</w:t>
      </w:r>
      <w:r>
        <w:rPr>
          <w:rFonts w:ascii="Arial" w:cs="Arial" w:eastAsia="Arial" w:hAnsi="Arial"/>
          <w:sz w:val="18"/>
          <w:szCs w:val="18"/>
          <w:color w:val="auto"/>
        </w:rPr>
        <w:t xml:space="preserve"> mutant AML through the U.S. Phase 1b/2 MDS/AML Trial and the French Phase 1b/2 MDS/AML Trial. While these frontline trials are evaluating APR-246 with azacitidine, we also intend to evaluate additional combination regimens with a Bcl-2 inhibitor with or without azacitidine in both frontline and relapsed/refractory AML patients. We believe that the treatment of these patients may offer an opportunity to significantly expand the commercial potential of APR-246.</w:t>
      </w:r>
    </w:p>
    <w:p>
      <w:pPr>
        <w:spacing w:after="0" w:line="223"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Advance our next-generation p53 reactivator, APR-548. </w:t>
      </w:r>
      <w:r>
        <w:rPr>
          <w:rFonts w:ascii="Arial" w:cs="Arial" w:eastAsia="Arial" w:hAnsi="Arial"/>
          <w:sz w:val="18"/>
          <w:szCs w:val="18"/>
          <w:color w:val="auto"/>
        </w:rPr>
        <w:t>We are developing a next-generation small molecule p53 reactivator with the potential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be delivered in an oral dosage form. We intend to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9" w:name="page110"/>
    <w:bookmarkEnd w:id="109"/>
    <w:p>
      <w:pPr>
        <w:ind w:left="1080" w:right="500"/>
        <w:spacing w:after="0" w:line="268" w:lineRule="auto"/>
        <w:rPr>
          <w:sz w:val="20"/>
          <w:szCs w:val="20"/>
          <w:color w:val="auto"/>
        </w:rPr>
      </w:pPr>
      <w:r>
        <w:rPr>
          <w:rFonts w:ascii="Arial" w:cs="Arial" w:eastAsia="Arial" w:hAnsi="Arial"/>
          <w:sz w:val="18"/>
          <w:szCs w:val="18"/>
          <w:color w:val="auto"/>
        </w:rPr>
        <w:t xml:space="preserve">initially develop APR-548 in </w:t>
      </w:r>
      <w:r>
        <w:rPr>
          <w:rFonts w:ascii="Arial" w:cs="Arial" w:eastAsia="Arial" w:hAnsi="Arial"/>
          <w:sz w:val="18"/>
          <w:szCs w:val="18"/>
          <w:i w:val="1"/>
          <w:iCs w:val="1"/>
          <w:color w:val="auto"/>
        </w:rPr>
        <w:t>TP53</w:t>
      </w:r>
      <w:r>
        <w:rPr>
          <w:rFonts w:ascii="Arial" w:cs="Arial" w:eastAsia="Arial" w:hAnsi="Arial"/>
          <w:sz w:val="18"/>
          <w:szCs w:val="18"/>
          <w:color w:val="auto"/>
        </w:rPr>
        <w:t xml:space="preserve"> mutant MDS/AML. We believe that an oral p53-reactivating drug will improve patient convenience and compliance, if approved, including for patients receiving prolonged therapy in the maintenance setting.</w:t>
      </w:r>
    </w:p>
    <w:p>
      <w:pPr>
        <w:spacing w:after="0" w:line="199" w:lineRule="exact"/>
        <w:rPr>
          <w:sz w:val="20"/>
          <w:szCs w:val="20"/>
          <w:color w:val="auto"/>
        </w:rPr>
      </w:pPr>
    </w:p>
    <w:p>
      <w:pPr>
        <w:ind w:left="1080" w:hanging="532"/>
        <w:spacing w:after="0" w:line="294"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Explore additional oncology indications for APR-246 and APR-548. </w:t>
      </w:r>
      <w:r>
        <w:rPr>
          <w:rFonts w:ascii="Arial" w:cs="Arial" w:eastAsia="Arial" w:hAnsi="Arial"/>
          <w:sz w:val="16"/>
          <w:szCs w:val="16"/>
          <w:color w:val="auto"/>
        </w:rPr>
        <w:t>We are evaluating combination treatment with our product candidates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hematologic and solid tumor indications where mutant and dysfunctional p53 is a driver of disease. We have preclinical models that show synergistic effects of APR-246 with a variety of anti-cancer agents including multiple conventional chemotherapeutic drugs, HMAs, inhibitors of anti-apoptotic proteins and immuno-oncology checkpoint blockade agents. Based on our preclinical data, we believe there is potential to expand APR-246 and APR-548 into additional oncological indications.</w:t>
      </w:r>
    </w:p>
    <w:p>
      <w:pPr>
        <w:sectPr>
          <w:pgSz w:w="11900" w:h="16838" w:orient="portrait"/>
          <w:cols w:equalWidth="0" w:num="1">
            <w:col w:w="11400"/>
          </w:cols>
          <w:pgMar w:left="240" w:top="131" w:right="259" w:bottom="1440" w:gutter="0" w:footer="0" w:header="0"/>
        </w:sectPr>
      </w:pP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approach</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Maximize the commercial opportunity of our product candidates across global markets. </w:t>
      </w:r>
      <w:r>
        <w:rPr>
          <w:rFonts w:ascii="Arial" w:cs="Arial" w:eastAsia="Arial" w:hAnsi="Arial"/>
          <w:sz w:val="18"/>
          <w:szCs w:val="18"/>
          <w:color w:val="auto"/>
        </w:rPr>
        <w:t>We currently retain worldwide development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commercialization rights to all of our product candidates. We intend to retain commercial rights to our product candidates in the United States and may elect to build a focused commercial oncology organization to market any of our product candidates that are approved. Outside of the United States, we may elect to selectively evaluate strategic partnership opportunities for our product candidates with partners whose development and commercial capabilities complement our own.</w:t>
      </w:r>
    </w:p>
    <w:p>
      <w:pPr>
        <w:spacing w:after="0" w:line="574" w:lineRule="exact"/>
        <w:rPr>
          <w:sz w:val="20"/>
          <w:szCs w:val="20"/>
          <w:color w:val="auto"/>
        </w:rPr>
      </w:pPr>
    </w:p>
    <w:p>
      <w:pPr>
        <w:sectPr>
          <w:pgSz w:w="11900" w:h="16838" w:orient="portrait"/>
          <w:cols w:equalWidth="0" w:num="2">
            <w:col w:w="1080" w:space="0"/>
            <w:col w:w="10320"/>
          </w:cols>
          <w:pgMar w:left="240" w:top="131" w:right="2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on p53, a key tumor suppressor protein</w:t>
      </w:r>
    </w:p>
    <w:p>
      <w:pPr>
        <w:spacing w:after="0" w:line="231"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i w:val="1"/>
          <w:iCs w:val="1"/>
          <w:color w:val="auto"/>
        </w:rPr>
        <w:t xml:space="preserve">TP53 </w:t>
      </w:r>
      <w:r>
        <w:rPr>
          <w:rFonts w:ascii="Arial" w:cs="Arial" w:eastAsia="Arial" w:hAnsi="Arial"/>
          <w:sz w:val="16"/>
          <w:szCs w:val="16"/>
          <w:color w:val="auto"/>
        </w:rPr>
        <w:t>is the most widely mutated gene in human cancers. Since its discovery in 1979, p53 has been extensively studied by researchers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 industry due to its central role in preventing the initiation and progression of liquid and solid tumors. p53 has long been referred to as "the guardian of the genome" because it is the body's first line of cellular defense against cancers. Among its multiple biologic functions, p53 regulates a variety of tumor suppressive responses including cell cycle arrest, DNA repair, apoptosis, and senescence.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p53 is activated when DNA damage is detected and when oxidative or other cellular stresses exceed thresholds for normal cellular function. The result of</w:t>
      </w:r>
    </w:p>
    <w:p>
      <w:pPr>
        <w:spacing w:after="0" w:line="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p53 activation is to facilitate the repair of the cell or trigger killing of the damaged cell, through a process known as apoptosis, before it can become cancerous and replicate. Given that the mutational status of p53 in a tumor has a strong impact on sensitivity to commonly used anti-cancer drugs and radiotherapy, p53 is important both as clinical marker and as a novel therapeutic target. Importantly, mutations in p53 not only diminish tumor suppression function but also often lead to the acquisition of new pro-tumor functions.</w:t>
      </w:r>
    </w:p>
    <w:p>
      <w:pPr>
        <w:spacing w:after="0" w:line="198"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 xml:space="preserve">To date, more than 25,000 unique </w:t>
      </w:r>
      <w:r>
        <w:rPr>
          <w:rFonts w:ascii="Arial" w:cs="Arial" w:eastAsia="Arial" w:hAnsi="Arial"/>
          <w:sz w:val="16"/>
          <w:szCs w:val="16"/>
          <w:i w:val="1"/>
          <w:iCs w:val="1"/>
          <w:color w:val="auto"/>
        </w:rPr>
        <w:t>TP53</w:t>
      </w:r>
      <w:r>
        <w:rPr>
          <w:rFonts w:ascii="Arial" w:cs="Arial" w:eastAsia="Arial" w:hAnsi="Arial"/>
          <w:sz w:val="16"/>
          <w:szCs w:val="16"/>
          <w:color w:val="auto"/>
        </w:rPr>
        <w:t xml:space="preserve"> mutations have been reported and thus a key challenge in the development of p53-targeted therapies is the vast number of mutations that compromise tumor suppression activity. Incidence of </w:t>
      </w:r>
      <w:r>
        <w:rPr>
          <w:rFonts w:ascii="Arial" w:cs="Arial" w:eastAsia="Arial" w:hAnsi="Arial"/>
          <w:sz w:val="16"/>
          <w:szCs w:val="16"/>
          <w:i w:val="1"/>
          <w:iCs w:val="1"/>
          <w:color w:val="auto"/>
        </w:rPr>
        <w:t>TP53</w:t>
      </w:r>
      <w:r>
        <w:rPr>
          <w:rFonts w:ascii="Arial" w:cs="Arial" w:eastAsia="Arial" w:hAnsi="Arial"/>
          <w:sz w:val="16"/>
          <w:szCs w:val="16"/>
          <w:color w:val="auto"/>
        </w:rPr>
        <w:t xml:space="preserve"> mutations increases after treatment with chemotherapy or radiation. The most common of these are missense mutations, involving the site-specific exchange of one amino acid for another, and account for 75% of all p53 mutations; however, even the six most frequently mutated "hotspot" missense mutations in p53 collectively represent only ~30% of all missense mutations. Therefore, we believe that a therapeutic agent that targets a small subset of </w:t>
      </w:r>
      <w:r>
        <w:rPr>
          <w:rFonts w:ascii="Arial" w:cs="Arial" w:eastAsia="Arial" w:hAnsi="Arial"/>
          <w:sz w:val="16"/>
          <w:szCs w:val="16"/>
          <w:i w:val="1"/>
          <w:iCs w:val="1"/>
          <w:color w:val="auto"/>
        </w:rPr>
        <w:t>TP53</w:t>
      </w:r>
      <w:r>
        <w:rPr>
          <w:rFonts w:ascii="Arial" w:cs="Arial" w:eastAsia="Arial" w:hAnsi="Arial"/>
          <w:sz w:val="16"/>
          <w:szCs w:val="16"/>
          <w:color w:val="auto"/>
        </w:rPr>
        <w:t xml:space="preserve"> mutations would be of limited benefit. To circumvent these challenges, previous drug development efforts have primarily focused on gene therapy delivery of wild type p53 or drugs that disrupt interaction with proteins that control p53 activation and abundance. We believe the more effective approach is our direct conformational reactivation of mutant p53 and restoration of wild-type structure and activity, independent of the type of mutation.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Our approach to re-activating p53</w:t>
      </w:r>
    </w:p>
    <w:p>
      <w:pPr>
        <w:spacing w:after="0" w:line="231"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One of the most attractive features of apoptosis activation as a cancer therapy is its potential to induce tumor regression rather than to simply stop tumor growth. However, pro-apoptotic agents that cannot discriminate between malignant and normal cells carry a significant risk of side effects. This is an important issue with traditional cancer treatments: radiotherapy and chemotherapy induce apoptosis only as a secondary effect of the cellular damage they induce. These treatments affect most proliferating cells without distinction between malignant or normal cells. Our product candidates, in contrast, are designed to reactivate mutant, non-functional p53 to restore normal apoptotic functions in cancer cells without triggering apoptosis in normal cells, thereby selectively enhancing the effects of other chemotherapy drugs in malignant cancer cells with mutant p53.</w:t>
      </w:r>
    </w:p>
    <w:p>
      <w:pPr>
        <w:spacing w:after="0" w:line="174"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APR-246 and the MQ, have been extensively studied. MQ-modified mutant p53 protein has been shown to induce significant levels of apoptosis, indicating that covalent binding of MQ activates mutant p53 and induces a p53-dependent apoptotic response. Experiments by our founders looking directly at the conformational state of p53 protein in cells have confirmed that binding of MQ stabilizes mutant p53 in the functional, wild type conformation. Structural biology studies performed by our collaborators have produced the first-ever crystal structures of several single-site missense mutant p53 forms bound to DNA. These structures confirm both the sites of MQ binding to mutant p53 and the stabilization of mutant p53 by MQ in the wild type conformation. Reactivation of mutant p53 via stabilization of the properly folded wild type conformation is the key step in our product candidates' mechanism of action. The following diagram illustrates this mechanism.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133350</wp:posOffset>
            </wp:positionV>
            <wp:extent cx="5282565" cy="11918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282565"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experiments, our lead p53 re-activating product candidate, APR-246, via MQ, impaired tumor cells' capacity to respond to oxidative stress. In parallel to binding mutant p53, and as published by Liu et al, Nat Commun, 2017, 14844, MQ depletes intracellular glutathione, or GSH, and induces reactive oxygen species, or ROS. Furthermore, as published in Peng et al, Cell Death Dis, 2013, e881, MQ has been shown to inhibit the reductase activities of the redox enzyme thioredoxin reductase, or TrxR1, and convert the enzyme to a dedicated oxidase, thereby increasing levels of ROS. Additional results reported in Haffo et al, Sci. Reports, 2018, 12671, have demonstrated MQ inhibition of thioredoxin, or Trx1, and glutaredoxin, or Grx1, which further augment oxidative stress, and ribonucleotide reductase, or RNR, which decreases the cell's ability to repair damaged DNA. These effects on the cellular redox system, illustrated in the following diagram, may contribute to the anticancer activity of APR-246 as well as the selectivity for effects on cancer cells versus healthy normal cells. Malignant cells have higher levels of ROS than healthy cells and are thus more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1" w:name="page112"/>
    <w:bookmarkEnd w:id="111"/>
    <w:p>
      <w:pPr>
        <w:spacing w:after="0" w:line="268" w:lineRule="auto"/>
        <w:rPr>
          <w:sz w:val="20"/>
          <w:szCs w:val="20"/>
          <w:color w:val="auto"/>
        </w:rPr>
      </w:pPr>
      <w:r>
        <w:rPr>
          <w:rFonts w:ascii="Arial" w:cs="Arial" w:eastAsia="Arial" w:hAnsi="Arial"/>
          <w:sz w:val="18"/>
          <w:szCs w:val="18"/>
          <w:color w:val="auto"/>
        </w:rPr>
        <w:t>susceptible to increased stress that can trigger pro-apoptotic responses. MQ-induced oxidative stress is therefore an important secondary feature of the mechanism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123190</wp:posOffset>
            </wp:positionV>
            <wp:extent cx="5617210" cy="2555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17210" cy="255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20" w:firstLine="351"/>
        <w:spacing w:after="0" w:line="318" w:lineRule="auto"/>
        <w:rPr>
          <w:sz w:val="20"/>
          <w:szCs w:val="20"/>
          <w:color w:val="auto"/>
        </w:rPr>
      </w:pPr>
      <w:r>
        <w:rPr>
          <w:rFonts w:ascii="Arial" w:cs="Arial" w:eastAsia="Arial" w:hAnsi="Arial"/>
          <w:sz w:val="15"/>
          <w:szCs w:val="15"/>
          <w:color w:val="auto"/>
        </w:rPr>
        <w:t>Cell fate is a function of the extent and severity of cellular stresses, such as oxidative stress and DNA damage. A network of proteins translates information about cellular stress into biochemical signals and relays this information back to p53, the center of the network. p53 integrates these biochemical signals and becomes activated to initiate cell cycle arrest. When cellular stress and damage are sufficiently high, such as with chemotherapy, p53 initiates apoptosis. MQ restores the ability of a cell to respond to oxidative stress and DNA damage via reactivation of mutant p53 and induces heightened oxidative stress signals to which reactivated p53 can respond. The overlap of these features of the mechanism of action may in turn provide more efficient induction of apoptosis.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 for p53 re-activating product candidates</w:t>
      </w:r>
    </w:p>
    <w:p>
      <w:pPr>
        <w:spacing w:after="0" w:line="231"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 xml:space="preserve">We believe there is a significant market opportunity for therapies targeting mutant p53 because these mutations occur in more than half of all tumors and confer an inferior prognosis relative to patients with wild type p53. Preclinical anti-tumor activity has been observed with APR-246 in a wide variety of hematological and solid tumor models and cell lines as reviewed and referenced in Perdrix et al, Cancer 2017, 9, 172. Given the importance of p53 mutations as disease-driver mutations, the sensitivity of hematopoietic cells to oxidative stress and continued unmet medical need, we are initially focused in our clinical development on hematological malignancies, MDS and AML, with </w:t>
      </w:r>
      <w:r>
        <w:rPr>
          <w:rFonts w:ascii="Arial" w:cs="Arial" w:eastAsia="Arial" w:hAnsi="Arial"/>
          <w:sz w:val="16"/>
          <w:szCs w:val="16"/>
          <w:i w:val="1"/>
          <w:iCs w:val="1"/>
          <w:color w:val="auto"/>
        </w:rPr>
        <w:t>TP53</w:t>
      </w:r>
      <w:r>
        <w:rPr>
          <w:rFonts w:ascii="Arial" w:cs="Arial" w:eastAsia="Arial" w:hAnsi="Arial"/>
          <w:sz w:val="16"/>
          <w:szCs w:val="16"/>
          <w:color w:val="auto"/>
        </w:rPr>
        <w:t xml:space="preserve"> mutations.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Myelodysplastic syndromes—disease background and opportunity</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MDS is a collection of bone marrow disorders in which malignant hematopoietic cells prevent production of healthy, mature blood cells. Low blood cell counts, called cytopenias, are a hallmark feature of MDS and are a principal cause of morbidity and mortality from infection and bleeding. MDS can develop </w:t>
      </w:r>
      <w:r>
        <w:rPr>
          <w:rFonts w:ascii="Arial" w:cs="Arial" w:eastAsia="Arial" w:hAnsi="Arial"/>
          <w:sz w:val="16"/>
          <w:szCs w:val="16"/>
          <w:i w:val="1"/>
          <w:iCs w:val="1"/>
          <w:color w:val="auto"/>
        </w:rPr>
        <w:t>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novo </w:t>
      </w:r>
      <w:r>
        <w:rPr>
          <w:rFonts w:ascii="Arial" w:cs="Arial" w:eastAsia="Arial" w:hAnsi="Arial"/>
          <w:sz w:val="16"/>
          <w:szCs w:val="16"/>
          <w:color w:val="auto"/>
        </w:rPr>
        <w:t>or may arise secondary to chemotherapy or radiation treatment for a different, prior malignancy or following an antecedent hematological disorder.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Treatment-related MDS is associated with increased complex chromosomal abnormalities and carries a worse prognosis than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MDS. As of 2019, there are an estimated 200,000 MDS patients worldwide, with 68,000 of these in the United States and 69,000 MDS patients across the five major markets of the European Union and Japan. Globally, MDS prevalence is expected to increase 2-3% annually in mature markets and 3-4% annually in emerging markets as populations age. MDS predominantly affects older adults, with</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2" w:name="page113"/>
    <w:bookmarkEnd w:id="112"/>
    <w:p>
      <w:pPr>
        <w:spacing w:after="0" w:line="268" w:lineRule="auto"/>
        <w:rPr>
          <w:sz w:val="20"/>
          <w:szCs w:val="20"/>
          <w:color w:val="auto"/>
        </w:rPr>
      </w:pPr>
      <w:r>
        <w:rPr>
          <w:rFonts w:ascii="Arial" w:cs="Arial" w:eastAsia="Arial" w:hAnsi="Arial"/>
          <w:sz w:val="18"/>
          <w:szCs w:val="18"/>
          <w:color w:val="auto"/>
        </w:rPr>
        <w:t>approximately 75% of patients aged 60 years or older at diagnosis. Around 30% of patients diagnosed with MDS will progress to AML, with the rate being higher for patients with more advanced disease.</w:t>
      </w:r>
    </w:p>
    <w:p>
      <w:pPr>
        <w:spacing w:after="0" w:line="18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 xml:space="preserve">MDS patients are segmented into different risk groups according the number of cytopenias, bone marrow blast percentage, and cytogenetic abnormalities. The presence of three or more coincident structural genetic abnormalities is classified as a complex karyotype, which correlates with poor prognosis, low response to intensive chemotherapy, high rate of relapse and inferior survival. Mutations in </w:t>
      </w:r>
      <w:r>
        <w:rPr>
          <w:rFonts w:ascii="Arial" w:cs="Arial" w:eastAsia="Arial" w:hAnsi="Arial"/>
          <w:sz w:val="16"/>
          <w:szCs w:val="16"/>
          <w:i w:val="1"/>
          <w:iCs w:val="1"/>
          <w:color w:val="auto"/>
        </w:rPr>
        <w:t>TP53</w:t>
      </w:r>
      <w:r>
        <w:rPr>
          <w:rFonts w:ascii="Arial" w:cs="Arial" w:eastAsia="Arial" w:hAnsi="Arial"/>
          <w:sz w:val="16"/>
          <w:szCs w:val="16"/>
          <w:color w:val="auto"/>
        </w:rPr>
        <w:t xml:space="preserve"> occur in approximately 20% of patients with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MDS and in more than 30% of patients with therapy-related MDS who develop disease secondary to chemotherapy or radiation treatment for other cancers. Sequencing of a panel of commonly mutated genes, including </w:t>
      </w:r>
      <w:r>
        <w:rPr>
          <w:rFonts w:ascii="Arial" w:cs="Arial" w:eastAsia="Arial" w:hAnsi="Arial"/>
          <w:sz w:val="16"/>
          <w:szCs w:val="16"/>
          <w:i w:val="1"/>
          <w:iCs w:val="1"/>
          <w:color w:val="auto"/>
        </w:rPr>
        <w:t>TP53</w:t>
      </w:r>
      <w:r>
        <w:rPr>
          <w:rFonts w:ascii="Arial" w:cs="Arial" w:eastAsia="Arial" w:hAnsi="Arial"/>
          <w:sz w:val="16"/>
          <w:szCs w:val="16"/>
          <w:color w:val="auto"/>
        </w:rPr>
        <w:t>, is standard practice in the diagnosis of MDS.</w:t>
      </w:r>
    </w:p>
    <w:p>
      <w:pPr>
        <w:spacing w:after="0" w:line="170"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 xml:space="preserve">Historically, treatment response rates in </w:t>
      </w:r>
      <w:r>
        <w:rPr>
          <w:rFonts w:ascii="Arial" w:cs="Arial" w:eastAsia="Arial" w:hAnsi="Arial"/>
          <w:sz w:val="16"/>
          <w:szCs w:val="16"/>
          <w:i w:val="1"/>
          <w:iCs w:val="1"/>
          <w:color w:val="auto"/>
        </w:rPr>
        <w:t>TP53</w:t>
      </w:r>
      <w:r>
        <w:rPr>
          <w:rFonts w:ascii="Arial" w:cs="Arial" w:eastAsia="Arial" w:hAnsi="Arial"/>
          <w:sz w:val="16"/>
          <w:szCs w:val="16"/>
          <w:color w:val="auto"/>
        </w:rPr>
        <w:t xml:space="preserve"> mutant MDS patients have been poor regardless of therapy. Treatment with azacitidine is the standard of care for frontline therapy in </w:t>
      </w:r>
      <w:r>
        <w:rPr>
          <w:rFonts w:ascii="Arial" w:cs="Arial" w:eastAsia="Arial" w:hAnsi="Arial"/>
          <w:sz w:val="16"/>
          <w:szCs w:val="16"/>
          <w:i w:val="1"/>
          <w:iCs w:val="1"/>
          <w:color w:val="auto"/>
        </w:rPr>
        <w:t>TP53</w:t>
      </w:r>
      <w:r>
        <w:rPr>
          <w:rFonts w:ascii="Arial" w:cs="Arial" w:eastAsia="Arial" w:hAnsi="Arial"/>
          <w:sz w:val="16"/>
          <w:szCs w:val="16"/>
          <w:color w:val="auto"/>
        </w:rPr>
        <w:t xml:space="preserve"> mutant MDS, with ORR of 40-45%, a CR rate of 20% and median OS of approximately 7-8 months. There are no established curative pharmacologic therapies for MDS. Allo-HCT is currently the only recognized therapy believed to increase the likelihood of long term survival for </w:t>
      </w:r>
      <w:r>
        <w:rPr>
          <w:rFonts w:ascii="Arial" w:cs="Arial" w:eastAsia="Arial" w:hAnsi="Arial"/>
          <w:sz w:val="16"/>
          <w:szCs w:val="16"/>
          <w:i w:val="1"/>
          <w:iCs w:val="1"/>
          <w:color w:val="auto"/>
        </w:rPr>
        <w:t>TP53</w:t>
      </w:r>
      <w:r>
        <w:rPr>
          <w:rFonts w:ascii="Arial" w:cs="Arial" w:eastAsia="Arial" w:hAnsi="Arial"/>
          <w:sz w:val="16"/>
          <w:szCs w:val="16"/>
          <w:color w:val="auto"/>
        </w:rPr>
        <w:t xml:space="preserve"> mutant MDS patients; however, many patients are not candidates for allo-HCT due to lack of sufficient clinical response to initial therapy, advanced age, comorbidities or lack of a suitable donor. Unfortunately, even for those </w:t>
      </w:r>
      <w:r>
        <w:rPr>
          <w:rFonts w:ascii="Arial" w:cs="Arial" w:eastAsia="Arial" w:hAnsi="Arial"/>
          <w:sz w:val="16"/>
          <w:szCs w:val="16"/>
          <w:i w:val="1"/>
          <w:iCs w:val="1"/>
          <w:color w:val="auto"/>
        </w:rPr>
        <w:t>TP53</w:t>
      </w:r>
      <w:r>
        <w:rPr>
          <w:rFonts w:ascii="Arial" w:cs="Arial" w:eastAsia="Arial" w:hAnsi="Arial"/>
          <w:sz w:val="16"/>
          <w:szCs w:val="16"/>
          <w:color w:val="auto"/>
        </w:rPr>
        <w:t xml:space="preserve"> mutant MDS patients who receive allo-HCT, the post-transplantation prognosis is poor: </w:t>
      </w:r>
      <w:r>
        <w:rPr>
          <w:rFonts w:ascii="Arial" w:cs="Arial" w:eastAsia="Arial" w:hAnsi="Arial"/>
          <w:sz w:val="16"/>
          <w:szCs w:val="16"/>
          <w:i w:val="1"/>
          <w:iCs w:val="1"/>
          <w:color w:val="auto"/>
        </w:rPr>
        <w:t>TP53</w:t>
      </w:r>
      <w:r>
        <w:rPr>
          <w:rFonts w:ascii="Arial" w:cs="Arial" w:eastAsia="Arial" w:hAnsi="Arial"/>
          <w:sz w:val="16"/>
          <w:szCs w:val="16"/>
          <w:color w:val="auto"/>
        </w:rPr>
        <w:t xml:space="preserve"> mutations are associated with a 4-fold increased risk of death and 1-year relapse-free survival of only 30% following transplantation.</w:t>
      </w:r>
    </w:p>
    <w:p>
      <w:pPr>
        <w:spacing w:after="0" w:line="174"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 xml:space="preserve">Given the poor prognosis for patients with </w:t>
      </w:r>
      <w:r>
        <w:rPr>
          <w:rFonts w:ascii="Arial" w:cs="Arial" w:eastAsia="Arial" w:hAnsi="Arial"/>
          <w:sz w:val="18"/>
          <w:szCs w:val="18"/>
          <w:i w:val="1"/>
          <w:iCs w:val="1"/>
          <w:color w:val="auto"/>
        </w:rPr>
        <w:t>TP53</w:t>
      </w:r>
      <w:r>
        <w:rPr>
          <w:rFonts w:ascii="Arial" w:cs="Arial" w:eastAsia="Arial" w:hAnsi="Arial"/>
          <w:sz w:val="18"/>
          <w:szCs w:val="18"/>
          <w:color w:val="auto"/>
        </w:rPr>
        <w:t xml:space="preserve"> mutant MDS there is a significant need for more effective therapies in this population, particularly if such treatments have a favorable safety profile, and a mechanism of action that targets mutant p53 directly, and may be used in combination with existing or future treatment options.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Acute myeloid leukemia—disease background and opportunity</w:t>
      </w:r>
    </w:p>
    <w:p>
      <w:pPr>
        <w:spacing w:after="0" w:line="225" w:lineRule="exact"/>
        <w:rPr>
          <w:sz w:val="20"/>
          <w:szCs w:val="20"/>
          <w:color w:val="auto"/>
        </w:rPr>
      </w:pPr>
    </w:p>
    <w:p>
      <w:pPr>
        <w:ind w:right="120" w:firstLine="341"/>
        <w:spacing w:after="0" w:line="254" w:lineRule="auto"/>
        <w:rPr>
          <w:sz w:val="20"/>
          <w:szCs w:val="20"/>
          <w:color w:val="auto"/>
        </w:rPr>
      </w:pPr>
      <w:r>
        <w:rPr>
          <w:rFonts w:ascii="Arial" w:cs="Arial" w:eastAsia="Arial" w:hAnsi="Arial"/>
          <w:sz w:val="18"/>
          <w:szCs w:val="18"/>
          <w:color w:val="auto"/>
        </w:rPr>
        <w:t xml:space="preserve">AML is the most common form of adult leukemia, with the highest incidence in patients aged 60 years and older. AML is characterized by proliferation of abnormal immature white blood cells which, like MDS, impairs production of normal blood cells. AML can develop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or may arise secondary to progression of other hematologic disorders or from chemotherapy or radiation treatment for a different, prior malignancy; secondary AML carries a worse prognosis than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AML. As of 2019, there are an estimated 213,000 AML patients worldwide, with 37,000 of these in the United States and 41,000 across the five major European Union markets and Japan. Globally, AML prevalence is expected to increase approximately 1-2% annually in mature markets and 2-3% in emerging markets.</w:t>
      </w:r>
    </w:p>
    <w:p>
      <w:pPr>
        <w:spacing w:after="0" w:line="198" w:lineRule="exact"/>
        <w:rPr>
          <w:sz w:val="20"/>
          <w:szCs w:val="20"/>
          <w:color w:val="auto"/>
        </w:rPr>
      </w:pPr>
    </w:p>
    <w:p>
      <w:pPr>
        <w:ind w:right="200" w:firstLine="341"/>
        <w:spacing w:after="0" w:line="255" w:lineRule="auto"/>
        <w:rPr>
          <w:sz w:val="20"/>
          <w:szCs w:val="20"/>
          <w:color w:val="auto"/>
        </w:rPr>
      </w:pPr>
      <w:r>
        <w:rPr>
          <w:rFonts w:ascii="Arial" w:cs="Arial" w:eastAsia="Arial" w:hAnsi="Arial"/>
          <w:sz w:val="18"/>
          <w:szCs w:val="18"/>
          <w:color w:val="auto"/>
        </w:rPr>
        <w:t xml:space="preserve">AML patients are segmented into different risk groups according to cytogenetic abnormalities. The presence of three or more coincident structural genetic abnormalities is classified as a complex karyotype, which correlates with adverse prognosis, low response to intensive chemotherapy, high rate of relapse and inferior survival. Mutations in </w:t>
      </w:r>
      <w:r>
        <w:rPr>
          <w:rFonts w:ascii="Arial" w:cs="Arial" w:eastAsia="Arial" w:hAnsi="Arial"/>
          <w:sz w:val="18"/>
          <w:szCs w:val="18"/>
          <w:i w:val="1"/>
          <w:iCs w:val="1"/>
          <w:color w:val="auto"/>
        </w:rPr>
        <w:t>TP53</w:t>
      </w:r>
      <w:r>
        <w:rPr>
          <w:rFonts w:ascii="Arial" w:cs="Arial" w:eastAsia="Arial" w:hAnsi="Arial"/>
          <w:sz w:val="18"/>
          <w:szCs w:val="18"/>
          <w:color w:val="auto"/>
        </w:rPr>
        <w:t xml:space="preserve"> occur in approximately 20% of patients with newly diagnosed AML, more than 30% of patients with therapy-related AML and approximately 70-80% of patients with complex karyotype. Sequencing of a panel of commonly mutated genes, including </w:t>
      </w:r>
      <w:r>
        <w:rPr>
          <w:rFonts w:ascii="Arial" w:cs="Arial" w:eastAsia="Arial" w:hAnsi="Arial"/>
          <w:sz w:val="18"/>
          <w:szCs w:val="18"/>
          <w:i w:val="1"/>
          <w:iCs w:val="1"/>
          <w:color w:val="auto"/>
        </w:rPr>
        <w:t>TP53</w:t>
      </w:r>
      <w:r>
        <w:rPr>
          <w:rFonts w:ascii="Arial" w:cs="Arial" w:eastAsia="Arial" w:hAnsi="Arial"/>
          <w:sz w:val="18"/>
          <w:szCs w:val="18"/>
          <w:color w:val="auto"/>
        </w:rPr>
        <w:t>, is standard practice in the diagnosis of AML.</w:t>
      </w:r>
    </w:p>
    <w:p>
      <w:pPr>
        <w:spacing w:after="0" w:line="197"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 xml:space="preserve">Historically, treatment response rates in </w:t>
      </w:r>
      <w:r>
        <w:rPr>
          <w:rFonts w:ascii="Arial" w:cs="Arial" w:eastAsia="Arial" w:hAnsi="Arial"/>
          <w:sz w:val="18"/>
          <w:szCs w:val="18"/>
          <w:i w:val="1"/>
          <w:iCs w:val="1"/>
          <w:color w:val="auto"/>
        </w:rPr>
        <w:t>TP53</w:t>
      </w:r>
      <w:r>
        <w:rPr>
          <w:rFonts w:ascii="Arial" w:cs="Arial" w:eastAsia="Arial" w:hAnsi="Arial"/>
          <w:sz w:val="18"/>
          <w:szCs w:val="18"/>
          <w:color w:val="auto"/>
        </w:rPr>
        <w:t xml:space="preserve"> mutant AML patients have been poor regardless of therapy. Treatment with azacitidine is the standard of care therapy for frontline therapy in </w:t>
      </w:r>
      <w:r>
        <w:rPr>
          <w:rFonts w:ascii="Arial" w:cs="Arial" w:eastAsia="Arial" w:hAnsi="Arial"/>
          <w:sz w:val="18"/>
          <w:szCs w:val="18"/>
          <w:i w:val="1"/>
          <w:iCs w:val="1"/>
          <w:color w:val="auto"/>
        </w:rPr>
        <w:t>TP53</w:t>
      </w:r>
      <w:r>
        <w:rPr>
          <w:rFonts w:ascii="Arial" w:cs="Arial" w:eastAsia="Arial" w:hAnsi="Arial"/>
          <w:sz w:val="18"/>
          <w:szCs w:val="18"/>
          <w:color w:val="auto"/>
        </w:rPr>
        <w:t xml:space="preserve"> mutant AML, with 40-50% ORR, 10-20% CR rate and OS of 7-8 months. Similar to MDS, allo-HCT is currently the only recognized therapy believed to increase the likelihood of long term survival for </w:t>
      </w:r>
      <w:r>
        <w:rPr>
          <w:rFonts w:ascii="Arial" w:cs="Arial" w:eastAsia="Arial" w:hAnsi="Arial"/>
          <w:sz w:val="18"/>
          <w:szCs w:val="18"/>
          <w:i w:val="1"/>
          <w:iCs w:val="1"/>
          <w:color w:val="auto"/>
        </w:rPr>
        <w:t>TP53</w:t>
      </w:r>
      <w:r>
        <w:rPr>
          <w:rFonts w:ascii="Arial" w:cs="Arial" w:eastAsia="Arial" w:hAnsi="Arial"/>
          <w:sz w:val="18"/>
          <w:szCs w:val="18"/>
          <w:color w:val="auto"/>
        </w:rPr>
        <w:t xml:space="preserve"> mutant AML patients; however, many patients are not candidates for allo-HCT due to lack of sufficient clinical response to therapy, advanced age, comorbidities or lack of a suitable donor. Unfortunately, even for those </w:t>
      </w:r>
      <w:r>
        <w:rPr>
          <w:rFonts w:ascii="Arial" w:cs="Arial" w:eastAsia="Arial" w:hAnsi="Arial"/>
          <w:sz w:val="18"/>
          <w:szCs w:val="18"/>
          <w:i w:val="1"/>
          <w:iCs w:val="1"/>
          <w:color w:val="auto"/>
        </w:rPr>
        <w:t>TP53</w:t>
      </w:r>
      <w:r>
        <w:rPr>
          <w:rFonts w:ascii="Arial" w:cs="Arial" w:eastAsia="Arial" w:hAnsi="Arial"/>
          <w:sz w:val="18"/>
          <w:szCs w:val="18"/>
          <w:color w:val="auto"/>
        </w:rPr>
        <w:t xml:space="preserve"> mutant AML patients who receive allo-HCT, the post-transplantation prognosis 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color w:val="auto"/>
        </w:rPr>
        <w:t xml:space="preserve">poor: </w:t>
      </w:r>
      <w:r>
        <w:rPr>
          <w:rFonts w:ascii="Arial" w:cs="Arial" w:eastAsia="Arial" w:hAnsi="Arial"/>
          <w:sz w:val="16"/>
          <w:szCs w:val="16"/>
          <w:i w:val="1"/>
          <w:iCs w:val="1"/>
          <w:color w:val="auto"/>
        </w:rPr>
        <w:t>TP53</w:t>
      </w:r>
      <w:r>
        <w:rPr>
          <w:rFonts w:ascii="Arial" w:cs="Arial" w:eastAsia="Arial" w:hAnsi="Arial"/>
          <w:sz w:val="16"/>
          <w:szCs w:val="16"/>
          <w:color w:val="auto"/>
        </w:rPr>
        <w:t xml:space="preserve"> mutations are associated with a 4-fold increased risk of death and 1-year relapse-free survival of only 30% following transplantation.</w:t>
      </w:r>
    </w:p>
    <w:p>
      <w:pPr>
        <w:spacing w:after="0" w:line="248"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 xml:space="preserve">Given the poor prognosis for patients with </w:t>
      </w:r>
      <w:r>
        <w:rPr>
          <w:rFonts w:ascii="Arial" w:cs="Arial" w:eastAsia="Arial" w:hAnsi="Arial"/>
          <w:sz w:val="18"/>
          <w:szCs w:val="18"/>
          <w:i w:val="1"/>
          <w:iCs w:val="1"/>
          <w:color w:val="auto"/>
        </w:rPr>
        <w:t>TP53</w:t>
      </w:r>
      <w:r>
        <w:rPr>
          <w:rFonts w:ascii="Arial" w:cs="Arial" w:eastAsia="Arial" w:hAnsi="Arial"/>
          <w:sz w:val="18"/>
          <w:szCs w:val="18"/>
          <w:color w:val="auto"/>
        </w:rPr>
        <w:t xml:space="preserve"> mutant AML there is a significant need for more effective therapies in this population, particularly if such treatments have a favorable safety profile, and a mechanism of action that targets mutant p53 directly, and may be used in combination with existing or future treatment options.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lead product candidate, APR-246</w:t>
      </w:r>
    </w:p>
    <w:p>
      <w:pPr>
        <w:spacing w:after="0" w:line="231"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Our lead product candidate, APR-246, is a small molecule that has demonstrated reactivation of mutant p53 in both clinical trials and preclinical studies. Promising clinical and preclinical data support the application of APR-246 across a variety of hematologic malignancies and other oncologic indications. Based on its mechanism of action of p53 reactivation and the complementary increase in oxidative stress, as well as its potential synergy with anti-cancer agents as evidenced in preclinical studies, APR-246 treatment may be effective in a broad range of clinical settings. We are currently focusing our clinical development of APR-246 on hematologic malignancies.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 of APR-246 in MDS and AML</w:t>
      </w:r>
    </w:p>
    <w:p>
      <w:pPr>
        <w:spacing w:after="0" w:line="225"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 xml:space="preserve">We are currently evaluating APR-246 with azacitidine for the treatment of </w:t>
      </w:r>
      <w:r>
        <w:rPr>
          <w:rFonts w:ascii="Arial" w:cs="Arial" w:eastAsia="Arial" w:hAnsi="Arial"/>
          <w:sz w:val="18"/>
          <w:szCs w:val="18"/>
          <w:i w:val="1"/>
          <w:iCs w:val="1"/>
          <w:color w:val="auto"/>
        </w:rPr>
        <w:t>TP53</w:t>
      </w:r>
      <w:r>
        <w:rPr>
          <w:rFonts w:ascii="Arial" w:cs="Arial" w:eastAsia="Arial" w:hAnsi="Arial"/>
          <w:sz w:val="18"/>
          <w:szCs w:val="18"/>
          <w:color w:val="auto"/>
        </w:rPr>
        <w:t xml:space="preserve"> mutant MDS and/or AML patients in 4 clinical trials, including frontline therapy and post-allo-HCT maintenance therapy. We plan to initiate an additional trial in the fourth quarter of 2019 to evaluate APR-246 with a Bcl-2 inhibitor with or without azacitidine for the treatment of frontline and relapsed/refractory, or R/R, AML.</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The Pivotal Phase 3 MDS Trial</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Our pivotal Phase 3 trial commenced enrollment in January 2019. Patients are randomized in a 1:1 ratio to either the azacitidine control arm or to the APR-246 + azacitidine test arm. The primary endpoint is CR rate with secondary endpoints including ORR, duration of response, progression-free survival, or PFS, leukemia-free survival, or LFS, OS, and proportion transitioning to allo-HCT. Serious adverse events, regardless of causality, reported in more than one patient as of September 18, 2019 were: febrile neutropenia 19%, lung infection (9%), pyrexia 6%, muscle weakness 4%, pericarditis 4%, pneumonitis 4%, hypotension (4%), sepsis (4%). There has been one death, resulting from respiratory failure, in a patient receiving both APR-246 and azacitidine and reported by an investigator as possibly related to both study drugs. There has been one death, resulting from pneumonitis, in a patient receiving azacitidine monotherapy and reported by an investigator as possibly related. The target enrollment is 154 patients and we anticipate completing enrollment in the first quarter of 2020 and expect top-line CR data in the second half of 2020.</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The U.S. Phase 1b/2 MDS/AML Trial</w:t>
      </w:r>
    </w:p>
    <w:p>
      <w:pPr>
        <w:spacing w:after="0" w:line="225"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 xml:space="preserve">We are supporting an investigator-initiated Phase 1b/2 single-arm, open-label, multi-center trial in the United States of APR-246 with azacitidine in HMA-naïve patients with </w:t>
      </w:r>
      <w:r>
        <w:rPr>
          <w:rFonts w:ascii="Arial" w:cs="Arial" w:eastAsia="Arial" w:hAnsi="Arial"/>
          <w:sz w:val="16"/>
          <w:szCs w:val="16"/>
          <w:i w:val="1"/>
          <w:iCs w:val="1"/>
          <w:color w:val="auto"/>
        </w:rPr>
        <w:t>TP53</w:t>
      </w:r>
      <w:r>
        <w:rPr>
          <w:rFonts w:ascii="Arial" w:cs="Arial" w:eastAsia="Arial" w:hAnsi="Arial"/>
          <w:sz w:val="16"/>
          <w:szCs w:val="16"/>
          <w:color w:val="auto"/>
        </w:rPr>
        <w:t xml:space="preserve"> mutant myeloid neoplasms including MDS and AML. Enrollment commenced in May 2017 and was completed in March 2019. The Phase 1b part enrolled 12 patients and was conducted as a dose escalation in a modified 3+3 design at dose levels of 50 mg/kg/d, 75 mg/kg/d and 100 mg/kg/d, calculated by lean body mass. The Phase 2 part enrolled 43 patients with all patients receiving a fixed dose of 4500 mg/d APR-246, a dose that our population pharmacokinetic analysis has identified as approximately equivalent to the highest Phase 1b dose, 100 mg/kg/d by lean body mass. A lead-in phase, beginning two weeks prior to starting cycle 1 of combination therapy with azacitidine, was conducted only in the Phase 1b part. The purpose of the lead-in phase was to establish the adverse event profile of APR-246 in this patient population and to APR-246-induced p53 reactivation. The protocol specifies administration of APR-</w:t>
      </w:r>
    </w:p>
    <w:p>
      <w:pPr>
        <w:ind w:right="160"/>
        <w:spacing w:after="0" w:line="221" w:lineRule="auto"/>
        <w:rPr>
          <w:sz w:val="20"/>
          <w:szCs w:val="20"/>
          <w:color w:val="auto"/>
        </w:rPr>
      </w:pPr>
      <w:r>
        <w:rPr>
          <w:rFonts w:ascii="Arial" w:cs="Arial" w:eastAsia="Arial" w:hAnsi="Arial"/>
          <w:sz w:val="18"/>
          <w:szCs w:val="18"/>
          <w:color w:val="auto"/>
        </w:rPr>
        <w:t>246 as a 6-hour intravenous infusion daily for four consecutive days, with administration of 75 mg/m</w:t>
      </w:r>
      <w:r>
        <w:rPr>
          <w:rFonts w:ascii="Arial" w:cs="Arial" w:eastAsia="Arial" w:hAnsi="Arial"/>
          <w:sz w:val="29"/>
          <w:szCs w:val="29"/>
          <w:color w:val="auto"/>
          <w:vertAlign w:val="superscript"/>
        </w:rPr>
        <w:t>2</w:t>
      </w:r>
      <w:r>
        <w:rPr>
          <w:rFonts w:ascii="Arial" w:cs="Arial" w:eastAsia="Arial" w:hAnsi="Arial"/>
          <w:sz w:val="18"/>
          <w:szCs w:val="18"/>
          <w:color w:val="auto"/>
        </w:rPr>
        <w:t>/d azacitidine by sub-cutaneous injection or intravenously beginning on Day 4 after completion of APR-246 infusion and continuing for 6 additional days. The image below shows the design of the U.S. Phase 1b/2 MDS/AML Trial.</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Design of the U.S. Phase 1b/2 MDS/AML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152400</wp:posOffset>
            </wp:positionV>
            <wp:extent cx="5866130" cy="18865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66130" cy="188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Baseline characteristics of patients enrolled in the trial are shown in the following table. Patients with MDS, AML, chronic myelomonocytic leukemia, or CMML, and MDS-myeloproliferative neoplasm overlap, or MDS-MPN, were allowed to enroll in the trial. Most patients were higher risk MDS (35/55, 64%) or AML (11/55, 20%), with complex karyotypes, cytopenias and transfusion dependence.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Baseline characteristics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3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w w:val="99"/>
              </w:rPr>
              <w:t>All patients (n=55)</w:t>
            </w:r>
          </w:p>
        </w:tc>
        <w:tc>
          <w:tcPr>
            <w:tcW w:w="1140" w:type="dxa"/>
            <w:vAlign w:val="bottom"/>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Female / Male, n</w:t>
            </w:r>
          </w:p>
        </w:tc>
        <w:tc>
          <w:tcPr>
            <w:tcW w:w="5080" w:type="dxa"/>
            <w:vAlign w:val="bottom"/>
            <w:gridSpan w:val="3"/>
            <w:shd w:val="clear" w:color="auto" w:fill="CCEEFF"/>
          </w:tcPr>
          <w:p>
            <w:pPr>
              <w:jc w:val="center"/>
              <w:ind w:left="3612"/>
              <w:spacing w:after="0"/>
              <w:rPr>
                <w:sz w:val="20"/>
                <w:szCs w:val="20"/>
                <w:color w:val="auto"/>
              </w:rPr>
            </w:pPr>
            <w:r>
              <w:rPr>
                <w:rFonts w:ascii="Arial" w:cs="Arial" w:eastAsia="Arial" w:hAnsi="Arial"/>
                <w:sz w:val="18"/>
                <w:szCs w:val="18"/>
                <w:color w:val="auto"/>
                <w:w w:val="90"/>
              </w:rPr>
              <w:t>29 / 26</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8"/>
                <w:szCs w:val="18"/>
                <w:b w:val="1"/>
                <w:bCs w:val="1"/>
                <w:color w:val="auto"/>
              </w:rPr>
              <w:t>Age in years, median (range)</w:t>
            </w:r>
          </w:p>
        </w:tc>
        <w:tc>
          <w:tcPr>
            <w:tcW w:w="5080" w:type="dxa"/>
            <w:vAlign w:val="bottom"/>
            <w:gridSpan w:val="3"/>
          </w:tcPr>
          <w:p>
            <w:pPr>
              <w:jc w:val="center"/>
              <w:ind w:left="3612"/>
              <w:spacing w:after="0"/>
              <w:rPr>
                <w:sz w:val="20"/>
                <w:szCs w:val="20"/>
                <w:color w:val="auto"/>
              </w:rPr>
            </w:pPr>
            <w:r>
              <w:rPr>
                <w:rFonts w:ascii="Arial" w:cs="Arial" w:eastAsia="Arial" w:hAnsi="Arial"/>
                <w:sz w:val="18"/>
                <w:szCs w:val="18"/>
                <w:color w:val="auto"/>
                <w:w w:val="88"/>
              </w:rPr>
              <w:t>66 (34 - 85)</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Age Category, n (%)</w:t>
            </w:r>
          </w:p>
        </w:tc>
        <w:tc>
          <w:tcPr>
            <w:tcW w:w="3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tcPr>
          <w:p>
            <w:pPr>
              <w:ind w:left="20"/>
              <w:spacing w:after="0"/>
              <w:rPr>
                <w:sz w:val="20"/>
                <w:szCs w:val="20"/>
                <w:color w:val="auto"/>
              </w:rPr>
            </w:pPr>
            <w:r>
              <w:rPr>
                <w:rFonts w:ascii="Arial" w:cs="Arial" w:eastAsia="Arial" w:hAnsi="Arial"/>
                <w:sz w:val="18"/>
                <w:szCs w:val="18"/>
                <w:color w:val="auto"/>
              </w:rPr>
              <w:t xml:space="preserve">&lt; </w:t>
            </w:r>
            <w:r>
              <w:rPr>
                <w:rFonts w:ascii="Arial" w:cs="Arial" w:eastAsia="Arial" w:hAnsi="Arial"/>
                <w:sz w:val="18"/>
                <w:szCs w:val="18"/>
                <w:b w:val="1"/>
                <w:bCs w:val="1"/>
                <w:color w:val="auto"/>
              </w:rPr>
              <w:t>65</w:t>
            </w:r>
          </w:p>
        </w:tc>
        <w:tc>
          <w:tcPr>
            <w:tcW w:w="1660" w:type="dxa"/>
            <w:vAlign w:val="bottom"/>
          </w:tcPr>
          <w:p>
            <w:pPr>
              <w:spacing w:after="0"/>
              <w:rPr>
                <w:sz w:val="18"/>
                <w:szCs w:val="18"/>
                <w:color w:val="auto"/>
              </w:rPr>
            </w:pP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760" w:type="dxa"/>
            <w:vAlign w:val="bottom"/>
          </w:tcPr>
          <w:p>
            <w:pPr>
              <w:ind w:left="40"/>
              <w:spacing w:after="0"/>
              <w:rPr>
                <w:sz w:val="20"/>
                <w:szCs w:val="20"/>
                <w:color w:val="auto"/>
              </w:rPr>
            </w:pPr>
            <w:r>
              <w:rPr>
                <w:rFonts w:ascii="Arial" w:cs="Arial" w:eastAsia="Arial" w:hAnsi="Arial"/>
                <w:sz w:val="18"/>
                <w:szCs w:val="18"/>
                <w:color w:val="auto"/>
              </w:rPr>
              <w:t>(42)</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³ </w:t>
            </w:r>
            <w:r>
              <w:rPr>
                <w:rFonts w:ascii="Arial" w:cs="Arial" w:eastAsia="Arial" w:hAnsi="Arial"/>
                <w:sz w:val="18"/>
                <w:szCs w:val="18"/>
                <w:b w:val="1"/>
                <w:bCs w:val="1"/>
                <w:color w:val="auto"/>
              </w:rPr>
              <w:t>65</w:t>
            </w:r>
          </w:p>
        </w:tc>
        <w:tc>
          <w:tcPr>
            <w:tcW w:w="166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(58)</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8"/>
                <w:szCs w:val="18"/>
                <w:b w:val="1"/>
                <w:bCs w:val="1"/>
                <w:color w:val="auto"/>
              </w:rPr>
              <w:t>ECOG PS(1) at treatment start, n (%)</w:t>
            </w:r>
          </w:p>
        </w:tc>
        <w:tc>
          <w:tcPr>
            <w:tcW w:w="3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0</w:t>
            </w:r>
          </w:p>
        </w:tc>
        <w:tc>
          <w:tcPr>
            <w:tcW w:w="166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tcPr>
          <w:p>
            <w:pPr>
              <w:ind w:left="20"/>
              <w:spacing w:after="0"/>
              <w:rPr>
                <w:sz w:val="20"/>
                <w:szCs w:val="20"/>
                <w:color w:val="auto"/>
              </w:rPr>
            </w:pPr>
            <w:r>
              <w:rPr>
                <w:rFonts w:ascii="Arial" w:cs="Arial" w:eastAsia="Arial" w:hAnsi="Arial"/>
                <w:sz w:val="18"/>
                <w:szCs w:val="18"/>
                <w:b w:val="1"/>
                <w:bCs w:val="1"/>
                <w:color w:val="auto"/>
              </w:rPr>
              <w:t>1</w:t>
            </w:r>
          </w:p>
        </w:tc>
        <w:tc>
          <w:tcPr>
            <w:tcW w:w="1660" w:type="dxa"/>
            <w:vAlign w:val="bottom"/>
          </w:tcPr>
          <w:p>
            <w:pPr>
              <w:spacing w:after="0"/>
              <w:rPr>
                <w:sz w:val="18"/>
                <w:szCs w:val="18"/>
                <w:color w:val="auto"/>
              </w:rPr>
            </w:pP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760" w:type="dxa"/>
            <w:vAlign w:val="bottom"/>
          </w:tcPr>
          <w:p>
            <w:pPr>
              <w:ind w:left="40"/>
              <w:spacing w:after="0"/>
              <w:rPr>
                <w:sz w:val="20"/>
                <w:szCs w:val="20"/>
                <w:color w:val="auto"/>
              </w:rPr>
            </w:pPr>
            <w:r>
              <w:rPr>
                <w:rFonts w:ascii="Arial" w:cs="Arial" w:eastAsia="Arial" w:hAnsi="Arial"/>
                <w:sz w:val="18"/>
                <w:szCs w:val="18"/>
                <w:color w:val="auto"/>
              </w:rPr>
              <w:t>(62)</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w:t>
            </w:r>
          </w:p>
        </w:tc>
        <w:tc>
          <w:tcPr>
            <w:tcW w:w="166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8"/>
                <w:szCs w:val="18"/>
                <w:b w:val="1"/>
                <w:bCs w:val="1"/>
                <w:color w:val="auto"/>
              </w:rPr>
              <w:t>Disease type, n (%)</w:t>
            </w:r>
          </w:p>
        </w:tc>
        <w:tc>
          <w:tcPr>
            <w:tcW w:w="3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MDS</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(73)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00" w:type="dxa"/>
            <w:vAlign w:val="bottom"/>
            <w:gridSpan w:val="2"/>
          </w:tcPr>
          <w:p>
            <w:pPr>
              <w:ind w:left="200"/>
              <w:spacing w:after="0"/>
              <w:rPr>
                <w:sz w:val="20"/>
                <w:szCs w:val="20"/>
                <w:color w:val="auto"/>
              </w:rPr>
            </w:pPr>
            <w:r>
              <w:rPr>
                <w:rFonts w:ascii="Arial" w:cs="Arial" w:eastAsia="Arial" w:hAnsi="Arial"/>
                <w:sz w:val="18"/>
                <w:szCs w:val="18"/>
                <w:b w:val="1"/>
                <w:bCs w:val="1"/>
                <w:color w:val="auto"/>
              </w:rPr>
              <w:t>IPSS-R(2): Intermediate</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760" w:type="dxa"/>
            <w:vAlign w:val="bottom"/>
          </w:tcPr>
          <w:p>
            <w:pPr>
              <w:ind w:left="40"/>
              <w:spacing w:after="0"/>
              <w:rPr>
                <w:sz w:val="20"/>
                <w:szCs w:val="20"/>
                <w:color w:val="auto"/>
              </w:rPr>
            </w:pPr>
            <w:r>
              <w:rPr>
                <w:rFonts w:ascii="Arial" w:cs="Arial" w:eastAsia="Arial" w:hAnsi="Arial"/>
                <w:sz w:val="18"/>
                <w:szCs w:val="18"/>
                <w:color w:val="auto"/>
              </w:rPr>
              <w:t>(7)</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IPSS-R: High</w:t>
            </w:r>
          </w:p>
        </w:tc>
        <w:tc>
          <w:tcPr>
            <w:tcW w:w="5080" w:type="dxa"/>
            <w:vAlign w:val="bottom"/>
            <w:gridSpan w:val="3"/>
            <w:shd w:val="clear" w:color="auto" w:fill="CCEEFF"/>
          </w:tcPr>
          <w:p>
            <w:pPr>
              <w:jc w:val="center"/>
              <w:ind w:left="3612"/>
              <w:spacing w:after="0"/>
              <w:rPr>
                <w:sz w:val="20"/>
                <w:szCs w:val="20"/>
                <w:color w:val="auto"/>
              </w:rPr>
            </w:pPr>
            <w:r>
              <w:rPr>
                <w:rFonts w:ascii="Arial" w:cs="Arial" w:eastAsia="Arial" w:hAnsi="Arial"/>
                <w:sz w:val="18"/>
                <w:szCs w:val="18"/>
                <w:color w:val="auto"/>
                <w:w w:val="89"/>
              </w:rPr>
              <w:t>8 (15)</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00" w:type="dxa"/>
            <w:vAlign w:val="bottom"/>
            <w:gridSpan w:val="2"/>
          </w:tcPr>
          <w:p>
            <w:pPr>
              <w:ind w:left="200"/>
              <w:spacing w:after="0"/>
              <w:rPr>
                <w:sz w:val="20"/>
                <w:szCs w:val="20"/>
                <w:color w:val="auto"/>
              </w:rPr>
            </w:pPr>
            <w:r>
              <w:rPr>
                <w:rFonts w:ascii="Arial" w:cs="Arial" w:eastAsia="Arial" w:hAnsi="Arial"/>
                <w:sz w:val="18"/>
                <w:szCs w:val="18"/>
                <w:b w:val="1"/>
                <w:bCs w:val="1"/>
                <w:color w:val="auto"/>
              </w:rPr>
              <w:t>IPSS-R: Very High</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760" w:type="dxa"/>
            <w:vAlign w:val="bottom"/>
          </w:tcPr>
          <w:p>
            <w:pPr>
              <w:ind w:left="40"/>
              <w:spacing w:after="0"/>
              <w:rPr>
                <w:sz w:val="20"/>
                <w:szCs w:val="20"/>
                <w:color w:val="auto"/>
              </w:rPr>
            </w:pPr>
            <w:r>
              <w:rPr>
                <w:rFonts w:ascii="Arial" w:cs="Arial" w:eastAsia="Arial" w:hAnsi="Arial"/>
                <w:sz w:val="18"/>
                <w:szCs w:val="18"/>
                <w:color w:val="auto"/>
              </w:rPr>
              <w:t>(51)</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AML</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00" w:type="dxa"/>
            <w:vAlign w:val="bottom"/>
            <w:gridSpan w:val="2"/>
          </w:tcPr>
          <w:p>
            <w:pPr>
              <w:ind w:left="20"/>
              <w:spacing w:after="0"/>
              <w:rPr>
                <w:sz w:val="20"/>
                <w:szCs w:val="20"/>
                <w:color w:val="auto"/>
              </w:rPr>
            </w:pPr>
            <w:r>
              <w:rPr>
                <w:rFonts w:ascii="Arial" w:cs="Arial" w:eastAsia="Arial" w:hAnsi="Arial"/>
                <w:sz w:val="18"/>
                <w:szCs w:val="18"/>
                <w:b w:val="1"/>
                <w:bCs w:val="1"/>
                <w:color w:val="auto"/>
              </w:rPr>
              <w:t>CMML(3)</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60" w:type="dxa"/>
            <w:vAlign w:val="bottom"/>
          </w:tcPr>
          <w:p>
            <w:pPr>
              <w:ind w:left="40"/>
              <w:spacing w:after="0"/>
              <w:rPr>
                <w:sz w:val="20"/>
                <w:szCs w:val="20"/>
                <w:color w:val="auto"/>
              </w:rPr>
            </w:pPr>
            <w:r>
              <w:rPr>
                <w:rFonts w:ascii="Arial" w:cs="Arial" w:eastAsia="Arial" w:hAnsi="Arial"/>
                <w:sz w:val="18"/>
                <w:szCs w:val="18"/>
                <w:color w:val="auto"/>
              </w:rPr>
              <w:t>(4)</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MDS-MPN(4)</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(4)</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8"/>
                <w:szCs w:val="18"/>
                <w:b w:val="1"/>
                <w:bCs w:val="1"/>
                <w:color w:val="auto"/>
              </w:rPr>
              <w:t>Therapy-related(5), n (%)</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760" w:type="dxa"/>
            <w:vAlign w:val="bottom"/>
          </w:tcPr>
          <w:p>
            <w:pPr>
              <w:ind w:left="40"/>
              <w:spacing w:after="0"/>
              <w:rPr>
                <w:sz w:val="20"/>
                <w:szCs w:val="20"/>
                <w:color w:val="auto"/>
              </w:rPr>
            </w:pPr>
            <w:r>
              <w:rPr>
                <w:rFonts w:ascii="Arial" w:cs="Arial" w:eastAsia="Arial" w:hAnsi="Arial"/>
                <w:sz w:val="18"/>
                <w:szCs w:val="18"/>
                <w:color w:val="auto"/>
              </w:rPr>
              <w:t>(33)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Chemotherapy</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(29)</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00" w:type="dxa"/>
            <w:vAlign w:val="bottom"/>
            <w:gridSpan w:val="2"/>
          </w:tcPr>
          <w:p>
            <w:pPr>
              <w:ind w:left="20"/>
              <w:spacing w:after="0"/>
              <w:rPr>
                <w:sz w:val="20"/>
                <w:szCs w:val="20"/>
                <w:color w:val="auto"/>
              </w:rPr>
            </w:pPr>
            <w:r>
              <w:rPr>
                <w:rFonts w:ascii="Arial" w:cs="Arial" w:eastAsia="Arial" w:hAnsi="Arial"/>
                <w:sz w:val="18"/>
                <w:szCs w:val="18"/>
                <w:b w:val="1"/>
                <w:bCs w:val="1"/>
                <w:color w:val="auto"/>
              </w:rPr>
              <w:t>Radiation</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60" w:type="dxa"/>
            <w:vAlign w:val="bottom"/>
          </w:tcPr>
          <w:p>
            <w:pPr>
              <w:ind w:left="40"/>
              <w:spacing w:after="0"/>
              <w:rPr>
                <w:sz w:val="20"/>
                <w:szCs w:val="20"/>
                <w:color w:val="auto"/>
              </w:rPr>
            </w:pPr>
            <w:r>
              <w:rPr>
                <w:rFonts w:ascii="Arial" w:cs="Arial" w:eastAsia="Arial" w:hAnsi="Arial"/>
                <w:sz w:val="18"/>
                <w:szCs w:val="18"/>
                <w:color w:val="auto"/>
              </w:rPr>
              <w:t>(5)</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Complex karyotype, n (%)</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(85)</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 xml:space="preserve">TP53 </w:t>
            </w:r>
            <w:r>
              <w:rPr>
                <w:rFonts w:ascii="Arial" w:cs="Arial" w:eastAsia="Arial" w:hAnsi="Arial"/>
                <w:sz w:val="18"/>
                <w:szCs w:val="18"/>
                <w:b w:val="1"/>
                <w:bCs w:val="1"/>
                <w:color w:val="auto"/>
              </w:rPr>
              <w:t>VAF(6)%, median (range)</w:t>
            </w:r>
          </w:p>
        </w:tc>
        <w:tc>
          <w:tcPr>
            <w:tcW w:w="5080" w:type="dxa"/>
            <w:vAlign w:val="bottom"/>
            <w:gridSpan w:val="3"/>
          </w:tcPr>
          <w:p>
            <w:pPr>
              <w:jc w:val="center"/>
              <w:ind w:left="3612"/>
              <w:spacing w:after="0"/>
              <w:rPr>
                <w:sz w:val="20"/>
                <w:szCs w:val="20"/>
                <w:color w:val="auto"/>
              </w:rPr>
            </w:pPr>
            <w:r>
              <w:rPr>
                <w:rFonts w:ascii="Arial" w:cs="Arial" w:eastAsia="Arial" w:hAnsi="Arial"/>
                <w:sz w:val="18"/>
                <w:szCs w:val="18"/>
                <w:color w:val="auto"/>
                <w:w w:val="89"/>
              </w:rPr>
              <w:t>27 (1 - 79)</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Bone marrow blast %, median (range)</w:t>
            </w:r>
          </w:p>
        </w:tc>
        <w:tc>
          <w:tcPr>
            <w:tcW w:w="5080" w:type="dxa"/>
            <w:vAlign w:val="bottom"/>
            <w:gridSpan w:val="3"/>
            <w:shd w:val="clear" w:color="auto" w:fill="CCEEFF"/>
          </w:tcPr>
          <w:p>
            <w:pPr>
              <w:jc w:val="center"/>
              <w:ind w:left="3612"/>
              <w:spacing w:after="0"/>
              <w:rPr>
                <w:sz w:val="20"/>
                <w:szCs w:val="20"/>
                <w:color w:val="auto"/>
              </w:rPr>
            </w:pPr>
            <w:r>
              <w:rPr>
                <w:rFonts w:ascii="Arial" w:cs="Arial" w:eastAsia="Arial" w:hAnsi="Arial"/>
                <w:sz w:val="18"/>
                <w:szCs w:val="18"/>
                <w:color w:val="auto"/>
                <w:w w:val="90"/>
              </w:rPr>
              <w:t>8 (0 - 30)</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8"/>
                <w:szCs w:val="18"/>
                <w:b w:val="1"/>
                <w:bCs w:val="1"/>
                <w:color w:val="auto"/>
              </w:rPr>
              <w:t>Hematology, median (range)</w:t>
            </w:r>
          </w:p>
        </w:tc>
        <w:tc>
          <w:tcPr>
            <w:tcW w:w="3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7"/>
        </w:trPr>
        <w:tc>
          <w:tcPr>
            <w:tcW w:w="1160" w:type="dxa"/>
            <w:vAlign w:val="bottom"/>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90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b w:val="1"/>
                <w:bCs w:val="1"/>
                <w:color w:val="auto"/>
              </w:rPr>
              <w:t>ANC(7), 10</w:t>
            </w:r>
            <w:r>
              <w:rPr>
                <w:rFonts w:ascii="Arial" w:cs="Arial" w:eastAsia="Arial" w:hAnsi="Arial"/>
                <w:sz w:val="29"/>
                <w:szCs w:val="29"/>
                <w:b w:val="1"/>
                <w:bCs w:val="1"/>
                <w:color w:val="auto"/>
                <w:vertAlign w:val="superscript"/>
              </w:rPr>
              <w:t>3</w:t>
            </w:r>
            <w:r>
              <w:rPr>
                <w:rFonts w:ascii="Arial" w:cs="Arial" w:eastAsia="Arial" w:hAnsi="Arial"/>
                <w:sz w:val="18"/>
                <w:szCs w:val="18"/>
                <w:b w:val="1"/>
                <w:bCs w:val="1"/>
                <w:color w:val="auto"/>
              </w:rPr>
              <w:t>/mL</w:t>
            </w:r>
          </w:p>
        </w:tc>
        <w:tc>
          <w:tcPr>
            <w:tcW w:w="5080" w:type="dxa"/>
            <w:vAlign w:val="bottom"/>
            <w:gridSpan w:val="3"/>
            <w:shd w:val="clear" w:color="auto" w:fill="CCEEFF"/>
          </w:tcPr>
          <w:p>
            <w:pPr>
              <w:jc w:val="center"/>
              <w:ind w:left="3612"/>
              <w:spacing w:after="0"/>
              <w:rPr>
                <w:sz w:val="20"/>
                <w:szCs w:val="20"/>
                <w:color w:val="auto"/>
              </w:rPr>
            </w:pPr>
            <w:r>
              <w:rPr>
                <w:rFonts w:ascii="Arial" w:cs="Arial" w:eastAsia="Arial" w:hAnsi="Arial"/>
                <w:sz w:val="18"/>
                <w:szCs w:val="18"/>
                <w:color w:val="auto"/>
                <w:w w:val="87"/>
              </w:rPr>
              <w:t>1.19 (0.02 - 15.98)</w:t>
            </w:r>
          </w:p>
        </w:tc>
        <w:tc>
          <w:tcPr>
            <w:tcW w:w="1140" w:type="dxa"/>
            <w:vAlign w:val="bottom"/>
          </w:tcPr>
          <w:p>
            <w:pPr>
              <w:spacing w:after="0"/>
              <w:rPr>
                <w:sz w:val="22"/>
                <w:szCs w:val="22"/>
                <w:color w:val="auto"/>
              </w:rPr>
            </w:pPr>
          </w:p>
        </w:tc>
      </w:tr>
      <w:tr>
        <w:trPr>
          <w:trHeight w:val="216"/>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00" w:type="dxa"/>
            <w:vAlign w:val="bottom"/>
            <w:gridSpan w:val="2"/>
          </w:tcPr>
          <w:p>
            <w:pPr>
              <w:ind w:left="20"/>
              <w:spacing w:after="0"/>
              <w:rPr>
                <w:sz w:val="20"/>
                <w:szCs w:val="20"/>
                <w:color w:val="auto"/>
              </w:rPr>
            </w:pPr>
            <w:r>
              <w:rPr>
                <w:rFonts w:ascii="Arial" w:cs="Arial" w:eastAsia="Arial" w:hAnsi="Arial"/>
                <w:sz w:val="18"/>
                <w:szCs w:val="18"/>
                <w:b w:val="1"/>
                <w:bCs w:val="1"/>
                <w:color w:val="auto"/>
              </w:rPr>
              <w:t>Hgb(8), g/dL</w:t>
            </w:r>
          </w:p>
        </w:tc>
        <w:tc>
          <w:tcPr>
            <w:tcW w:w="5080" w:type="dxa"/>
            <w:vAlign w:val="bottom"/>
            <w:gridSpan w:val="3"/>
          </w:tcPr>
          <w:p>
            <w:pPr>
              <w:jc w:val="center"/>
              <w:ind w:left="3612"/>
              <w:spacing w:after="0"/>
              <w:rPr>
                <w:sz w:val="20"/>
                <w:szCs w:val="20"/>
                <w:color w:val="auto"/>
              </w:rPr>
            </w:pPr>
            <w:r>
              <w:rPr>
                <w:rFonts w:ascii="Arial" w:cs="Arial" w:eastAsia="Arial" w:hAnsi="Arial"/>
                <w:sz w:val="18"/>
                <w:szCs w:val="18"/>
                <w:color w:val="auto"/>
                <w:w w:val="89"/>
              </w:rPr>
              <w:t>8.6 (6.7 - 13.8)</w:t>
            </w:r>
          </w:p>
        </w:tc>
        <w:tc>
          <w:tcPr>
            <w:tcW w:w="1140" w:type="dxa"/>
            <w:vAlign w:val="bottom"/>
          </w:tcPr>
          <w:p>
            <w:pPr>
              <w:spacing w:after="0"/>
              <w:rPr>
                <w:sz w:val="18"/>
                <w:szCs w:val="18"/>
                <w:color w:val="auto"/>
              </w:rPr>
            </w:pPr>
          </w:p>
        </w:tc>
      </w:tr>
      <w:tr>
        <w:trPr>
          <w:trHeight w:val="257"/>
        </w:trPr>
        <w:tc>
          <w:tcPr>
            <w:tcW w:w="1160" w:type="dxa"/>
            <w:vAlign w:val="bottom"/>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90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b w:val="1"/>
                <w:bCs w:val="1"/>
                <w:color w:val="auto"/>
              </w:rPr>
              <w:t>Platelets, 10</w:t>
            </w:r>
            <w:r>
              <w:rPr>
                <w:rFonts w:ascii="Arial" w:cs="Arial" w:eastAsia="Arial" w:hAnsi="Arial"/>
                <w:sz w:val="29"/>
                <w:szCs w:val="29"/>
                <w:b w:val="1"/>
                <w:bCs w:val="1"/>
                <w:color w:val="auto"/>
                <w:vertAlign w:val="superscript"/>
              </w:rPr>
              <w:t>3</w:t>
            </w:r>
            <w:r>
              <w:rPr>
                <w:rFonts w:ascii="Arial" w:cs="Arial" w:eastAsia="Arial" w:hAnsi="Arial"/>
                <w:sz w:val="18"/>
                <w:szCs w:val="18"/>
                <w:b w:val="1"/>
                <w:bCs w:val="1"/>
                <w:color w:val="auto"/>
              </w:rPr>
              <w:t>/mL</w:t>
            </w:r>
          </w:p>
        </w:tc>
        <w:tc>
          <w:tcPr>
            <w:tcW w:w="5080" w:type="dxa"/>
            <w:vAlign w:val="bottom"/>
            <w:gridSpan w:val="3"/>
            <w:shd w:val="clear" w:color="auto" w:fill="CCEEFF"/>
          </w:tcPr>
          <w:p>
            <w:pPr>
              <w:jc w:val="center"/>
              <w:ind w:left="3612"/>
              <w:spacing w:after="0"/>
              <w:rPr>
                <w:sz w:val="20"/>
                <w:szCs w:val="20"/>
                <w:color w:val="auto"/>
              </w:rPr>
            </w:pPr>
            <w:r>
              <w:rPr>
                <w:rFonts w:ascii="Arial" w:cs="Arial" w:eastAsia="Arial" w:hAnsi="Arial"/>
                <w:sz w:val="18"/>
                <w:szCs w:val="18"/>
                <w:color w:val="auto"/>
                <w:w w:val="88"/>
              </w:rPr>
              <w:t>46 (0 - 845)</w:t>
            </w:r>
          </w:p>
        </w:tc>
        <w:tc>
          <w:tcPr>
            <w:tcW w:w="1140" w:type="dxa"/>
            <w:vAlign w:val="bottom"/>
          </w:tcPr>
          <w:p>
            <w:pPr>
              <w:spacing w:after="0"/>
              <w:rPr>
                <w:sz w:val="22"/>
                <w:szCs w:val="22"/>
                <w:color w:val="auto"/>
              </w:rPr>
            </w:pPr>
          </w:p>
        </w:tc>
      </w:tr>
      <w:tr>
        <w:trPr>
          <w:trHeight w:val="257"/>
        </w:trPr>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900" w:type="dxa"/>
            <w:vAlign w:val="bottom"/>
            <w:gridSpan w:val="2"/>
          </w:tcPr>
          <w:p>
            <w:pPr>
              <w:ind w:left="20"/>
              <w:spacing w:after="0" w:line="256" w:lineRule="exact"/>
              <w:rPr>
                <w:sz w:val="20"/>
                <w:szCs w:val="20"/>
                <w:color w:val="auto"/>
              </w:rPr>
            </w:pPr>
            <w:r>
              <w:rPr>
                <w:rFonts w:ascii="Arial" w:cs="Arial" w:eastAsia="Arial" w:hAnsi="Arial"/>
                <w:sz w:val="18"/>
                <w:szCs w:val="18"/>
                <w:b w:val="1"/>
                <w:bCs w:val="1"/>
                <w:color w:val="auto"/>
              </w:rPr>
              <w:t>WBC(9), 10</w:t>
            </w:r>
            <w:r>
              <w:rPr>
                <w:rFonts w:ascii="Arial" w:cs="Arial" w:eastAsia="Arial" w:hAnsi="Arial"/>
                <w:sz w:val="29"/>
                <w:szCs w:val="29"/>
                <w:b w:val="1"/>
                <w:bCs w:val="1"/>
                <w:color w:val="auto"/>
                <w:vertAlign w:val="superscript"/>
              </w:rPr>
              <w:t>3</w:t>
            </w:r>
            <w:r>
              <w:rPr>
                <w:rFonts w:ascii="Arial" w:cs="Arial" w:eastAsia="Arial" w:hAnsi="Arial"/>
                <w:sz w:val="18"/>
                <w:szCs w:val="18"/>
                <w:b w:val="1"/>
                <w:bCs w:val="1"/>
                <w:color w:val="auto"/>
              </w:rPr>
              <w:t>/mL</w:t>
            </w:r>
          </w:p>
        </w:tc>
        <w:tc>
          <w:tcPr>
            <w:tcW w:w="5080" w:type="dxa"/>
            <w:vAlign w:val="bottom"/>
            <w:gridSpan w:val="3"/>
          </w:tcPr>
          <w:p>
            <w:pPr>
              <w:jc w:val="center"/>
              <w:ind w:left="3612"/>
              <w:spacing w:after="0"/>
              <w:rPr>
                <w:sz w:val="20"/>
                <w:szCs w:val="20"/>
                <w:color w:val="auto"/>
              </w:rPr>
            </w:pPr>
            <w:r>
              <w:rPr>
                <w:rFonts w:ascii="Arial" w:cs="Arial" w:eastAsia="Arial" w:hAnsi="Arial"/>
                <w:sz w:val="18"/>
                <w:szCs w:val="18"/>
                <w:color w:val="auto"/>
                <w:w w:val="89"/>
              </w:rPr>
              <w:t>2.4 (0.6 - 30.8)</w:t>
            </w:r>
          </w:p>
        </w:tc>
        <w:tc>
          <w:tcPr>
            <w:tcW w:w="1140" w:type="dxa"/>
            <w:vAlign w:val="bottom"/>
          </w:tcPr>
          <w:p>
            <w:pPr>
              <w:spacing w:after="0"/>
              <w:rPr>
                <w:sz w:val="22"/>
                <w:szCs w:val="22"/>
                <w:color w:val="auto"/>
              </w:rPr>
            </w:pPr>
          </w:p>
        </w:tc>
      </w:tr>
      <w:tr>
        <w:trPr>
          <w:trHeight w:val="216"/>
        </w:trPr>
        <w:tc>
          <w:tcPr>
            <w:tcW w:w="116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Transfusion dependence, n (%)</w:t>
            </w:r>
          </w:p>
        </w:tc>
        <w:tc>
          <w:tcPr>
            <w:tcW w:w="3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00" w:type="dxa"/>
            <w:vAlign w:val="bottom"/>
            <w:gridSpan w:val="2"/>
          </w:tcPr>
          <w:p>
            <w:pPr>
              <w:ind w:left="20"/>
              <w:spacing w:after="0"/>
              <w:rPr>
                <w:sz w:val="20"/>
                <w:szCs w:val="20"/>
                <w:color w:val="auto"/>
              </w:rPr>
            </w:pPr>
            <w:r>
              <w:rPr>
                <w:rFonts w:ascii="Arial" w:cs="Arial" w:eastAsia="Arial" w:hAnsi="Arial"/>
                <w:sz w:val="18"/>
                <w:szCs w:val="18"/>
                <w:b w:val="1"/>
                <w:bCs w:val="1"/>
                <w:color w:val="auto"/>
              </w:rPr>
              <w:t>RBC(10)</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760" w:type="dxa"/>
            <w:vAlign w:val="bottom"/>
          </w:tcPr>
          <w:p>
            <w:pPr>
              <w:ind w:left="40"/>
              <w:spacing w:after="0"/>
              <w:rPr>
                <w:sz w:val="20"/>
                <w:szCs w:val="20"/>
                <w:color w:val="auto"/>
              </w:rPr>
            </w:pPr>
            <w:r>
              <w:rPr>
                <w:rFonts w:ascii="Arial" w:cs="Arial" w:eastAsia="Arial" w:hAnsi="Arial"/>
                <w:sz w:val="18"/>
                <w:szCs w:val="18"/>
                <w:color w:val="auto"/>
              </w:rPr>
              <w:t>(65)</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Platelets</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(22)</w:t>
            </w:r>
          </w:p>
        </w:tc>
        <w:tc>
          <w:tcPr>
            <w:tcW w:w="1140" w:type="dxa"/>
            <w:vAlign w:val="bottom"/>
          </w:tcPr>
          <w:p>
            <w:pPr>
              <w:spacing w:after="0"/>
              <w:rPr>
                <w:sz w:val="18"/>
                <w:szCs w:val="18"/>
                <w:color w:val="auto"/>
              </w:rPr>
            </w:pPr>
          </w:p>
        </w:tc>
      </w:tr>
      <w:tr>
        <w:trPr>
          <w:trHeight w:val="108"/>
        </w:trPr>
        <w:tc>
          <w:tcPr>
            <w:tcW w:w="1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1660" w:type="dxa"/>
            <w:vAlign w:val="bottom"/>
          </w:tcPr>
          <w:p>
            <w:pPr>
              <w:spacing w:after="0"/>
              <w:rPr>
                <w:sz w:val="9"/>
                <w:szCs w:val="9"/>
                <w:color w:val="auto"/>
              </w:rPr>
            </w:pPr>
          </w:p>
        </w:tc>
        <w:tc>
          <w:tcPr>
            <w:tcW w:w="3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371"/>
        </w:trPr>
        <w:tc>
          <w:tcPr>
            <w:tcW w:w="1300" w:type="dxa"/>
            <w:vAlign w:val="bottom"/>
            <w:gridSpan w:val="2"/>
          </w:tcPr>
          <w:p>
            <w:pPr>
              <w:ind w:left="1140"/>
              <w:spacing w:after="0"/>
              <w:rPr>
                <w:sz w:val="20"/>
                <w:szCs w:val="20"/>
                <w:color w:val="auto"/>
              </w:rPr>
            </w:pPr>
            <w:r>
              <w:rPr>
                <w:rFonts w:ascii="Arial" w:cs="Arial" w:eastAsia="Arial" w:hAnsi="Arial"/>
                <w:sz w:val="14"/>
                <w:szCs w:val="14"/>
                <w:color w:val="auto"/>
                <w:w w:val="81"/>
              </w:rPr>
              <w:t>(1)</w:t>
            </w:r>
          </w:p>
        </w:tc>
        <w:tc>
          <w:tcPr>
            <w:tcW w:w="3900" w:type="dxa"/>
            <w:vAlign w:val="bottom"/>
            <w:gridSpan w:val="2"/>
          </w:tcPr>
          <w:p>
            <w:pPr>
              <w:ind w:left="380"/>
              <w:spacing w:after="0"/>
              <w:rPr>
                <w:sz w:val="20"/>
                <w:szCs w:val="20"/>
                <w:color w:val="auto"/>
              </w:rPr>
            </w:pPr>
            <w:r>
              <w:rPr>
                <w:rFonts w:ascii="Arial" w:cs="Arial" w:eastAsia="Arial" w:hAnsi="Arial"/>
                <w:sz w:val="14"/>
                <w:szCs w:val="14"/>
                <w:color w:val="auto"/>
                <w:w w:val="97"/>
              </w:rPr>
              <w:t>Eastern Cooperative Oncology Group performance status</w:t>
            </w:r>
          </w:p>
        </w:tc>
        <w:tc>
          <w:tcPr>
            <w:tcW w:w="3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04"/>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700" w:type="dxa"/>
            <w:vAlign w:val="bottom"/>
          </w:tcPr>
          <w:p>
            <w:pPr>
              <w:jc w:val="right"/>
              <w:ind w:right="2972"/>
              <w:spacing w:after="0"/>
              <w:rPr>
                <w:sz w:val="20"/>
                <w:szCs w:val="20"/>
                <w:color w:val="auto"/>
              </w:rPr>
            </w:pPr>
            <w:r>
              <w:rPr>
                <w:rFonts w:ascii="Arial" w:cs="Arial" w:eastAsia="Arial" w:hAnsi="Arial"/>
                <w:sz w:val="18"/>
                <w:szCs w:val="18"/>
                <w:color w:val="auto"/>
              </w:rPr>
              <w:t>111</w:t>
            </w: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5" w:name="page116"/>
    <w:bookmarkEnd w:id="115"/>
    <w:p>
      <w:pPr>
        <w:ind w:left="1680" w:hanging="531"/>
        <w:spacing w:after="0"/>
        <w:tabs>
          <w:tab w:leader="none" w:pos="16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Revised International Prognostic Scoring System</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Chronic myelomonocytic leukemia</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Myelodysplastic syndromes-myeloproliferative neoplasms overlap</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Patients treated for prior cancer(s)</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Variant allele frequency</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Absolute neutrophil count</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Hemoglobin</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White blood cell</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Red blood cell</w:t>
      </w:r>
    </w:p>
    <w:p>
      <w:pPr>
        <w:spacing w:after="0" w:line="206"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 xml:space="preserve">The median age of all enrolled patients was 66 years, consistent with MDS and AML affecting mostly older patients. Of the MDS patients in the trial, 36/40 were high or very high risk by IPSS-R. Across all patients, 33% had documented therapy-related disease and 85% had complex karyotypes. High risk patients with complex karyotypes and </w:t>
      </w:r>
      <w:r>
        <w:rPr>
          <w:rFonts w:ascii="Arial" w:cs="Arial" w:eastAsia="Arial" w:hAnsi="Arial"/>
          <w:sz w:val="18"/>
          <w:szCs w:val="18"/>
          <w:i w:val="1"/>
          <w:iCs w:val="1"/>
          <w:color w:val="auto"/>
        </w:rPr>
        <w:t>TP53</w:t>
      </w:r>
      <w:r>
        <w:rPr>
          <w:rFonts w:ascii="Arial" w:cs="Arial" w:eastAsia="Arial" w:hAnsi="Arial"/>
          <w:sz w:val="18"/>
          <w:szCs w:val="18"/>
          <w:color w:val="auto"/>
        </w:rPr>
        <w:t xml:space="preserve"> mutation have been reported to have the poorest prognosis of all MDS and AML patients. The median bone marrow blast percentage was 8%. Hematologic parameters were reflective of the frequently severe cytopenias attendant with MDS and AML, and were underscored by transfusion dependence at baseline in 65% of patients.</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 xml:space="preserve">Of the 51 MDS and AML patients treated with the combination of APR-246 and azacitidine, 41 had at least one serial bone marrow biopsy performed and were evaluable for response in accordance with trial protocol as of July 2019. In this subset of 41 evaluable patients, responses were reported in 29/33 (88%) MDS patients and 7/8 (88%) AML patients. In MDS patients, the CR rate was 61%, with an additional 27% achieving non-CR responses. In AML patients, the CR rate was 50%, with an additional 38% achieving non-CR responses. Nineteen of 41 (46%) MDS/AML patients discontinued treatment for allo-HCT, as transplant is viewed as a potentially curative option for patients with </w:t>
      </w:r>
      <w:r>
        <w:rPr>
          <w:rFonts w:ascii="Arial" w:cs="Arial" w:eastAsia="Arial" w:hAnsi="Arial"/>
          <w:sz w:val="16"/>
          <w:szCs w:val="16"/>
          <w:i w:val="1"/>
          <w:iCs w:val="1"/>
          <w:color w:val="auto"/>
        </w:rPr>
        <w:t>TP53</w:t>
      </w:r>
      <w:r>
        <w:rPr>
          <w:rFonts w:ascii="Arial" w:cs="Arial" w:eastAsia="Arial" w:hAnsi="Arial"/>
          <w:sz w:val="16"/>
          <w:szCs w:val="16"/>
          <w:color w:val="auto"/>
        </w:rPr>
        <w:t xml:space="preserve"> mutant MDS and AML. Treatment duration and responses are shown in the figure below. The median time to first response is 1.9 months in MDS patients and 2.2 months in AML patients. By intention-to-treat analysis in all 55 patients, and with a median follow up of 10.5 months, median OS was 11.6 months (95% confidence interval: 9.2 – 14.0 months) with significantly prolonged OS of 12.8 months in responding patients versus 3.9 months in non-responding patients (p &lt; 0.0001). In the subset of 41 MDS/AML patients, median OS was 12.2 months (95% confidence interval: 9.8 – 14.6 months).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Treatment duration and response in evaluable MDS/AML patients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cutoff: July 15, 2019 (n=41)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144145</wp:posOffset>
            </wp:positionV>
            <wp:extent cx="5866130" cy="30359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66130" cy="303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 xml:space="preserve">Treatment with azacitidine is the standard of care for frontline therapy in </w:t>
      </w:r>
      <w:r>
        <w:rPr>
          <w:rFonts w:ascii="Arial" w:cs="Arial" w:eastAsia="Arial" w:hAnsi="Arial"/>
          <w:sz w:val="18"/>
          <w:szCs w:val="18"/>
          <w:i w:val="1"/>
          <w:iCs w:val="1"/>
          <w:color w:val="auto"/>
        </w:rPr>
        <w:t>TP53</w:t>
      </w:r>
      <w:r>
        <w:rPr>
          <w:rFonts w:ascii="Arial" w:cs="Arial" w:eastAsia="Arial" w:hAnsi="Arial"/>
          <w:sz w:val="18"/>
          <w:szCs w:val="18"/>
          <w:color w:val="auto"/>
        </w:rPr>
        <w:t xml:space="preserve"> mutant MDS and AML, with ORR of 40-45% and a CR rate of 20%. A limited number of peer-reviewed publications have reported the duration of response, or DoR, and PFS in this patient population; from the available public data, DoR is approximately 4-5 months and PFS is approximately 4-8 months. In the 41 evaluable patients in the U.S. trial, ORR was 88% (95% confidence interval: 73 - 95%) and CR rate was 59% (95% confidence interval: 43 - 75%). For the evaluable Phase 1b patients, where the data is mature, DoR was 7.5 months (95% confidence interval: 5.8 - 8.4 months) and PFS was 9.3 months (95% confidence interval: 8.2 - 10.6 months) as of the data cutoff. These data are summarized in the following figure.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Rates and Duration of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6260465" cy="22123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60465"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40" w:right="740" w:hanging="532"/>
        <w:spacing w:after="0" w:line="241" w:lineRule="auto"/>
        <w:tabs>
          <w:tab w:leader="none" w:pos="5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 xml:space="preserve">Data from Sallman et al, 2018 Annual Meeting of the American Society of Hematology, poster 1817; Bally et al, </w:t>
      </w:r>
      <w:r>
        <w:rPr>
          <w:rFonts w:ascii="Arial" w:cs="Arial" w:eastAsia="Arial" w:hAnsi="Arial"/>
          <w:sz w:val="14"/>
          <w:szCs w:val="14"/>
          <w:i w:val="1"/>
          <w:iCs w:val="1"/>
          <w:color w:val="auto"/>
        </w:rPr>
        <w:t>Leukemia Res.</w:t>
      </w:r>
      <w:r>
        <w:rPr>
          <w:rFonts w:ascii="Arial" w:cs="Arial" w:eastAsia="Arial" w:hAnsi="Arial"/>
          <w:sz w:val="14"/>
          <w:szCs w:val="14"/>
          <w:color w:val="auto"/>
        </w:rPr>
        <w:t xml:space="preserve">, </w:t>
      </w:r>
      <w:r>
        <w:rPr>
          <w:rFonts w:ascii="Arial" w:cs="Arial" w:eastAsia="Arial" w:hAnsi="Arial"/>
          <w:sz w:val="14"/>
          <w:szCs w:val="14"/>
          <w:b w:val="1"/>
          <w:bCs w:val="1"/>
          <w:color w:val="auto"/>
        </w:rPr>
        <w:t>2014</w:t>
      </w:r>
      <w:r>
        <w:rPr>
          <w:rFonts w:ascii="Arial" w:cs="Arial" w:eastAsia="Arial" w:hAnsi="Arial"/>
          <w:sz w:val="14"/>
          <w:szCs w:val="14"/>
          <w:color w:val="auto"/>
        </w:rPr>
        <w:t xml:space="preserve">; Takahashi et al, </w:t>
      </w:r>
      <w:r>
        <w:rPr>
          <w:rFonts w:ascii="Arial" w:cs="Arial" w:eastAsia="Arial" w:hAnsi="Arial"/>
          <w:sz w:val="14"/>
          <w:szCs w:val="14"/>
          <w:i w:val="1"/>
          <w:iCs w:val="1"/>
          <w:color w:val="auto"/>
        </w:rPr>
        <w:t>Oncotarget</w:t>
      </w:r>
      <w:r>
        <w:rPr>
          <w:rFonts w:ascii="Arial" w:cs="Arial" w:eastAsia="Arial" w:hAnsi="Arial"/>
          <w:sz w:val="14"/>
          <w:szCs w:val="14"/>
          <w:color w:val="auto"/>
        </w:rPr>
        <w:t xml:space="preserve">, </w:t>
      </w:r>
      <w:r>
        <w:rPr>
          <w:rFonts w:ascii="Arial" w:cs="Arial" w:eastAsia="Arial" w:hAnsi="Arial"/>
          <w:sz w:val="14"/>
          <w:szCs w:val="14"/>
          <w:b w:val="1"/>
          <w:bCs w:val="1"/>
          <w:color w:val="auto"/>
        </w:rPr>
        <w:t>2016</w:t>
      </w:r>
      <w:r>
        <w:rPr>
          <w:rFonts w:ascii="Arial" w:cs="Arial" w:eastAsia="Arial" w:hAnsi="Arial"/>
          <w:sz w:val="14"/>
          <w:szCs w:val="14"/>
          <w:color w:val="auto"/>
        </w:rPr>
        <w:t xml:space="preserve">; Kulasekararaj, </w:t>
      </w:r>
      <w:r>
        <w:rPr>
          <w:rFonts w:ascii="Arial" w:cs="Arial" w:eastAsia="Arial" w:hAnsi="Arial"/>
          <w:sz w:val="14"/>
          <w:szCs w:val="14"/>
          <w:i w:val="1"/>
          <w:iCs w:val="1"/>
          <w:color w:val="auto"/>
        </w:rPr>
        <w:t>Br. J. Haematol.</w:t>
      </w:r>
      <w:r>
        <w:rPr>
          <w:rFonts w:ascii="Arial" w:cs="Arial" w:eastAsia="Arial" w:hAnsi="Arial"/>
          <w:sz w:val="14"/>
          <w:szCs w:val="14"/>
          <w:color w:val="auto"/>
        </w:rPr>
        <w:t>,</w:t>
      </w:r>
      <w:r>
        <w:rPr>
          <w:rFonts w:ascii="Arial" w:cs="Arial" w:eastAsia="Arial" w:hAnsi="Arial"/>
          <w:sz w:val="14"/>
          <w:szCs w:val="14"/>
          <w:i w:val="1"/>
          <w:iCs w:val="1"/>
          <w:color w:val="auto"/>
        </w:rPr>
        <w:t xml:space="preserve"> </w:t>
      </w:r>
      <w:r>
        <w:rPr>
          <w:rFonts w:ascii="Arial" w:cs="Arial" w:eastAsia="Arial" w:hAnsi="Arial"/>
          <w:sz w:val="14"/>
          <w:szCs w:val="14"/>
          <w:b w:val="1"/>
          <w:bCs w:val="1"/>
          <w:color w:val="auto"/>
        </w:rPr>
        <w:t>2013</w:t>
      </w:r>
      <w:r>
        <w:rPr>
          <w:rFonts w:ascii="Arial" w:cs="Arial" w:eastAsia="Arial" w:hAnsi="Arial"/>
          <w:sz w:val="14"/>
          <w:szCs w:val="14"/>
          <w:color w:val="auto"/>
        </w:rPr>
        <w:t>; Bejar et al,</w:t>
      </w:r>
      <w:r>
        <w:rPr>
          <w:rFonts w:ascii="Arial" w:cs="Arial" w:eastAsia="Arial" w:hAnsi="Arial"/>
          <w:sz w:val="14"/>
          <w:szCs w:val="14"/>
          <w:i w:val="1"/>
          <w:iCs w:val="1"/>
          <w:color w:val="auto"/>
        </w:rPr>
        <w:t xml:space="preserve"> Blood</w:t>
      </w:r>
      <w:r>
        <w:rPr>
          <w:rFonts w:ascii="Arial" w:cs="Arial" w:eastAsia="Arial" w:hAnsi="Arial"/>
          <w:sz w:val="14"/>
          <w:szCs w:val="14"/>
          <w:color w:val="auto"/>
        </w:rPr>
        <w:t>,</w:t>
      </w:r>
      <w:r>
        <w:rPr>
          <w:rFonts w:ascii="Arial" w:cs="Arial" w:eastAsia="Arial" w:hAnsi="Arial"/>
          <w:sz w:val="14"/>
          <w:szCs w:val="14"/>
          <w:i w:val="1"/>
          <w:iCs w:val="1"/>
          <w:color w:val="auto"/>
        </w:rPr>
        <w:t xml:space="preserve"> </w:t>
      </w:r>
      <w:r>
        <w:rPr>
          <w:rFonts w:ascii="Arial" w:cs="Arial" w:eastAsia="Arial" w:hAnsi="Arial"/>
          <w:sz w:val="14"/>
          <w:szCs w:val="14"/>
          <w:b w:val="1"/>
          <w:bCs w:val="1"/>
          <w:color w:val="auto"/>
        </w:rPr>
        <w:t>2014</w:t>
      </w:r>
      <w:r>
        <w:rPr>
          <w:rFonts w:ascii="Arial" w:cs="Arial" w:eastAsia="Arial" w:hAnsi="Arial"/>
          <w:sz w:val="14"/>
          <w:szCs w:val="14"/>
          <w:color w:val="auto"/>
        </w:rPr>
        <w:t>; Falconi et al,</w:t>
      </w:r>
      <w:r>
        <w:rPr>
          <w:rFonts w:ascii="Arial" w:cs="Arial" w:eastAsia="Arial" w:hAnsi="Arial"/>
          <w:sz w:val="14"/>
          <w:szCs w:val="14"/>
          <w:i w:val="1"/>
          <w:iCs w:val="1"/>
          <w:color w:val="auto"/>
        </w:rPr>
        <w:t xml:space="preserve"> Leukemia</w:t>
      </w:r>
      <w:r>
        <w:rPr>
          <w:rFonts w:ascii="Arial" w:cs="Arial" w:eastAsia="Arial" w:hAnsi="Arial"/>
          <w:sz w:val="14"/>
          <w:szCs w:val="14"/>
          <w:color w:val="auto"/>
        </w:rPr>
        <w:t>,</w:t>
      </w:r>
      <w:r>
        <w:rPr>
          <w:rFonts w:ascii="Arial" w:cs="Arial" w:eastAsia="Arial" w:hAnsi="Arial"/>
          <w:sz w:val="14"/>
          <w:szCs w:val="14"/>
          <w:i w:val="1"/>
          <w:iCs w:val="1"/>
          <w:color w:val="auto"/>
        </w:rPr>
        <w:t xml:space="preserve"> </w:t>
      </w:r>
      <w:r>
        <w:rPr>
          <w:rFonts w:ascii="Arial" w:cs="Arial" w:eastAsia="Arial" w:hAnsi="Arial"/>
          <w:sz w:val="14"/>
          <w:szCs w:val="14"/>
          <w:b w:val="1"/>
          <w:bCs w:val="1"/>
          <w:color w:val="auto"/>
        </w:rPr>
        <w:t>2018</w:t>
      </w:r>
      <w:r>
        <w:rPr>
          <w:rFonts w:ascii="Arial" w:cs="Arial" w:eastAsia="Arial" w:hAnsi="Arial"/>
          <w:sz w:val="14"/>
          <w:szCs w:val="14"/>
          <w:color w:val="auto"/>
        </w:rPr>
        <w:t>.</w:t>
      </w:r>
    </w:p>
    <w:p>
      <w:pPr>
        <w:spacing w:after="0" w:line="110" w:lineRule="exact"/>
        <w:rPr>
          <w:rFonts w:ascii="Arial" w:cs="Arial" w:eastAsia="Arial" w:hAnsi="Arial"/>
          <w:sz w:val="14"/>
          <w:szCs w:val="14"/>
          <w:color w:val="auto"/>
        </w:rPr>
      </w:pPr>
    </w:p>
    <w:p>
      <w:pPr>
        <w:ind w:left="540" w:hanging="532"/>
        <w:spacing w:after="0"/>
        <w:tabs>
          <w:tab w:leader="none" w:pos="5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Duration of response</w:t>
      </w: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117" w:name="page118"/>
    <w:bookmarkEnd w:id="117"/>
    <w:p>
      <w:pPr>
        <w:ind w:left="360"/>
        <w:spacing w:after="0"/>
        <w:rPr>
          <w:sz w:val="20"/>
          <w:szCs w:val="20"/>
          <w:color w:val="auto"/>
        </w:rPr>
      </w:pPr>
      <w:r>
        <w:rPr>
          <w:rFonts w:ascii="Arial" w:cs="Arial" w:eastAsia="Arial" w:hAnsi="Arial"/>
          <w:sz w:val="15"/>
          <w:szCs w:val="15"/>
          <w:color w:val="auto"/>
        </w:rPr>
        <w:t>Reported adverse events, or AEs, are mostly low-grade (Grade 1 or 2). Grade 3 or higher AEs are mostly associated with the underlying disease. In the APR-</w:t>
      </w:r>
    </w:p>
    <w:p>
      <w:pPr>
        <w:spacing w:after="0" w:line="50"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246 monotherapy lead-in phase there were no dose-limiting toxicities, no serious adverse events attributed to APR-246 and all treatment-related AEs were low-grade. The following chart summarizes the AEs reported in more than one patient during the APR-246 monotherapy lead-in phase.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AEs reported in &gt; 1 patient during APR-246 monotherapy lead-in phase (n=12)</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260" w:type="dxa"/>
            <w:vAlign w:val="bottom"/>
            <w:gridSpan w:val="3"/>
          </w:tcPr>
          <w:p>
            <w:pPr>
              <w:spacing w:after="0"/>
              <w:rPr>
                <w:sz w:val="20"/>
                <w:szCs w:val="20"/>
                <w:color w:val="auto"/>
              </w:rPr>
            </w:pPr>
            <w:r>
              <w:rPr>
                <w:rFonts w:ascii="Arial" w:cs="Arial" w:eastAsia="Arial" w:hAnsi="Arial"/>
                <w:sz w:val="14"/>
                <w:szCs w:val="14"/>
                <w:b w:val="1"/>
                <w:bCs w:val="1"/>
                <w:color w:val="auto"/>
              </w:rPr>
              <w:t>Adverse event, n (%)</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Any grade</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Grade ³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Nausea</w:t>
            </w:r>
          </w:p>
        </w:tc>
        <w:tc>
          <w:tcPr>
            <w:tcW w:w="60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 (42)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 (0)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Peripheral sensory neuropathy</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 (42)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 (0)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Back pain</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 (25)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 (0)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Febrile neutropenia</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 (17)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 (17)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Anemia</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 (17)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 (17)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Headache</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 (17)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 (0)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Dizziness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 (17)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 (0)</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most common AEs observed across all cycles of treatment in the trial, as of the cutoff date and regardless of causality, are summarized in the following chart. Only three patients (5%) discontinued treatment due to AE. Serious adverse events, regardless of causality, reported for more than one patient were: febrile neutropenia (27%), lung infection (9%), infections and infestations (5%), respiratory failure (5%), sepsis (5%), vomiting (5%), chest pain (4%), dehydration (4%), intracranial hemorrhage (4%) and multi-organ failure (4%).</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Most common reported AEs with APR-246 + azacitidine treatment, regardless of causality (³20%)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cutoff: July 15, 2019 (n=55)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gridSpan w:val="3"/>
          </w:tcPr>
          <w:p>
            <w:pPr>
              <w:ind w:left="1140"/>
              <w:spacing w:after="0"/>
              <w:rPr>
                <w:sz w:val="20"/>
                <w:szCs w:val="20"/>
                <w:color w:val="auto"/>
              </w:rPr>
            </w:pPr>
            <w:r>
              <w:rPr>
                <w:rFonts w:ascii="Arial" w:cs="Arial" w:eastAsia="Arial" w:hAnsi="Arial"/>
                <w:sz w:val="14"/>
                <w:szCs w:val="14"/>
                <w:b w:val="1"/>
                <w:bCs w:val="1"/>
                <w:color w:val="auto"/>
              </w:rPr>
              <w:t>Adverse event, n (%)</w:t>
            </w:r>
          </w:p>
        </w:tc>
        <w:tc>
          <w:tcPr>
            <w:tcW w:w="356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Any grade</w:t>
            </w:r>
          </w:p>
        </w:tc>
        <w:tc>
          <w:tcPr>
            <w:tcW w:w="2080" w:type="dxa"/>
            <w:vAlign w:val="bottom"/>
            <w:gridSpan w:val="3"/>
          </w:tcPr>
          <w:p>
            <w:pPr>
              <w:ind w:left="120"/>
              <w:spacing w:after="0"/>
              <w:rPr>
                <w:sz w:val="20"/>
                <w:szCs w:val="20"/>
                <w:color w:val="auto"/>
              </w:rPr>
            </w:pPr>
            <w:r>
              <w:rPr>
                <w:rFonts w:ascii="Arial" w:cs="Arial" w:eastAsia="Arial" w:hAnsi="Arial"/>
                <w:sz w:val="14"/>
                <w:szCs w:val="14"/>
                <w:b w:val="1"/>
                <w:bCs w:val="1"/>
                <w:color w:val="auto"/>
              </w:rPr>
              <w:t>Grade ³ 3</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Nausea</w:t>
            </w:r>
          </w:p>
        </w:tc>
        <w:tc>
          <w:tcPr>
            <w:tcW w:w="248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 (65)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 (0)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Vomiting</w:t>
            </w:r>
          </w:p>
        </w:tc>
        <w:tc>
          <w:tcPr>
            <w:tcW w:w="4500" w:type="dxa"/>
            <w:vAlign w:val="bottom"/>
            <w:gridSpan w:val="3"/>
          </w:tcPr>
          <w:p>
            <w:pPr>
              <w:jc w:val="right"/>
              <w:ind w:right="120"/>
              <w:spacing w:after="0"/>
              <w:rPr>
                <w:sz w:val="20"/>
                <w:szCs w:val="20"/>
                <w:color w:val="auto"/>
              </w:rPr>
            </w:pPr>
            <w:r>
              <w:rPr>
                <w:rFonts w:ascii="Arial" w:cs="Arial" w:eastAsia="Arial" w:hAnsi="Arial"/>
                <w:sz w:val="18"/>
                <w:szCs w:val="18"/>
                <w:color w:val="auto"/>
              </w:rPr>
              <w:t>24 (44)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 (2)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Fatigue</w:t>
            </w:r>
          </w:p>
        </w:tc>
        <w:tc>
          <w:tcPr>
            <w:tcW w:w="4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 (42)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 (0)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Constipation</w:t>
            </w:r>
          </w:p>
        </w:tc>
        <w:tc>
          <w:tcPr>
            <w:tcW w:w="4500" w:type="dxa"/>
            <w:vAlign w:val="bottom"/>
            <w:gridSpan w:val="3"/>
          </w:tcPr>
          <w:p>
            <w:pPr>
              <w:jc w:val="right"/>
              <w:ind w:right="120"/>
              <w:spacing w:after="0"/>
              <w:rPr>
                <w:sz w:val="20"/>
                <w:szCs w:val="20"/>
                <w:color w:val="auto"/>
              </w:rPr>
            </w:pPr>
            <w:r>
              <w:rPr>
                <w:rFonts w:ascii="Arial" w:cs="Arial" w:eastAsia="Arial" w:hAnsi="Arial"/>
                <w:sz w:val="18"/>
                <w:szCs w:val="18"/>
                <w:color w:val="auto"/>
              </w:rPr>
              <w:t>22 (40)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 (0)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Dizziness</w:t>
            </w:r>
          </w:p>
        </w:tc>
        <w:tc>
          <w:tcPr>
            <w:tcW w:w="4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 (35)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 (2)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Diarrhea</w:t>
            </w:r>
          </w:p>
        </w:tc>
        <w:tc>
          <w:tcPr>
            <w:tcW w:w="4500" w:type="dxa"/>
            <w:vAlign w:val="bottom"/>
            <w:gridSpan w:val="3"/>
          </w:tcPr>
          <w:p>
            <w:pPr>
              <w:jc w:val="right"/>
              <w:ind w:right="120"/>
              <w:spacing w:after="0"/>
              <w:rPr>
                <w:sz w:val="20"/>
                <w:szCs w:val="20"/>
                <w:color w:val="auto"/>
              </w:rPr>
            </w:pPr>
            <w:r>
              <w:rPr>
                <w:rFonts w:ascii="Arial" w:cs="Arial" w:eastAsia="Arial" w:hAnsi="Arial"/>
                <w:sz w:val="18"/>
                <w:szCs w:val="18"/>
                <w:color w:val="auto"/>
              </w:rPr>
              <w:t>19 (35)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 (2)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Febrile neutropenia</w:t>
            </w:r>
          </w:p>
        </w:tc>
        <w:tc>
          <w:tcPr>
            <w:tcW w:w="4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 (31)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 (33)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Neutropenia</w:t>
            </w:r>
          </w:p>
        </w:tc>
        <w:tc>
          <w:tcPr>
            <w:tcW w:w="4500" w:type="dxa"/>
            <w:vAlign w:val="bottom"/>
            <w:gridSpan w:val="3"/>
          </w:tcPr>
          <w:p>
            <w:pPr>
              <w:jc w:val="right"/>
              <w:ind w:right="120"/>
              <w:spacing w:after="0"/>
              <w:rPr>
                <w:sz w:val="20"/>
                <w:szCs w:val="20"/>
                <w:color w:val="auto"/>
              </w:rPr>
            </w:pPr>
            <w:r>
              <w:rPr>
                <w:rFonts w:ascii="Arial" w:cs="Arial" w:eastAsia="Arial" w:hAnsi="Arial"/>
                <w:sz w:val="18"/>
                <w:szCs w:val="18"/>
                <w:color w:val="auto"/>
              </w:rPr>
              <w:t>16 (29)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 (29)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Edema—limbs</w:t>
            </w:r>
          </w:p>
        </w:tc>
        <w:tc>
          <w:tcPr>
            <w:tcW w:w="4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 (29)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 (2)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Infections and infestations</w:t>
            </w:r>
          </w:p>
        </w:tc>
        <w:tc>
          <w:tcPr>
            <w:tcW w:w="4500" w:type="dxa"/>
            <w:vAlign w:val="bottom"/>
            <w:gridSpan w:val="3"/>
          </w:tcPr>
          <w:p>
            <w:pPr>
              <w:jc w:val="right"/>
              <w:ind w:right="120"/>
              <w:spacing w:after="0"/>
              <w:rPr>
                <w:sz w:val="20"/>
                <w:szCs w:val="20"/>
                <w:color w:val="auto"/>
              </w:rPr>
            </w:pPr>
            <w:r>
              <w:rPr>
                <w:rFonts w:ascii="Arial" w:cs="Arial" w:eastAsia="Arial" w:hAnsi="Arial"/>
                <w:sz w:val="18"/>
                <w:szCs w:val="18"/>
                <w:color w:val="auto"/>
              </w:rPr>
              <w:t>16 (29)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 (11)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Dsypnea</w:t>
            </w:r>
          </w:p>
        </w:tc>
        <w:tc>
          <w:tcPr>
            <w:tcW w:w="4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 (29)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 (4)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Peripheral sensory neuropathy</w:t>
            </w:r>
          </w:p>
        </w:tc>
        <w:tc>
          <w:tcPr>
            <w:tcW w:w="4500" w:type="dxa"/>
            <w:vAlign w:val="bottom"/>
            <w:gridSpan w:val="3"/>
          </w:tcPr>
          <w:p>
            <w:pPr>
              <w:jc w:val="right"/>
              <w:ind w:right="120"/>
              <w:spacing w:after="0"/>
              <w:rPr>
                <w:sz w:val="20"/>
                <w:szCs w:val="20"/>
                <w:color w:val="auto"/>
              </w:rPr>
            </w:pPr>
            <w:r>
              <w:rPr>
                <w:rFonts w:ascii="Arial" w:cs="Arial" w:eastAsia="Arial" w:hAnsi="Arial"/>
                <w:sz w:val="18"/>
                <w:szCs w:val="18"/>
                <w:color w:val="auto"/>
              </w:rPr>
              <w:t>15 (27)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 (0)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Leukopenia</w:t>
            </w:r>
          </w:p>
        </w:tc>
        <w:tc>
          <w:tcPr>
            <w:tcW w:w="4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 (27)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 (25)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Thrombocytopenia</w:t>
            </w:r>
          </w:p>
        </w:tc>
        <w:tc>
          <w:tcPr>
            <w:tcW w:w="4500" w:type="dxa"/>
            <w:vAlign w:val="bottom"/>
            <w:gridSpan w:val="3"/>
          </w:tcPr>
          <w:p>
            <w:pPr>
              <w:jc w:val="right"/>
              <w:ind w:right="120"/>
              <w:spacing w:after="0"/>
              <w:rPr>
                <w:sz w:val="20"/>
                <w:szCs w:val="20"/>
                <w:color w:val="auto"/>
              </w:rPr>
            </w:pPr>
            <w:r>
              <w:rPr>
                <w:rFonts w:ascii="Arial" w:cs="Arial" w:eastAsia="Arial" w:hAnsi="Arial"/>
                <w:sz w:val="18"/>
                <w:szCs w:val="18"/>
                <w:color w:val="auto"/>
              </w:rPr>
              <w:t>15 (27)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 (24)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Cough</w:t>
            </w:r>
          </w:p>
        </w:tc>
        <w:tc>
          <w:tcPr>
            <w:tcW w:w="4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 (27)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 (2)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Headache</w:t>
            </w:r>
          </w:p>
        </w:tc>
        <w:tc>
          <w:tcPr>
            <w:tcW w:w="4500" w:type="dxa"/>
            <w:vAlign w:val="bottom"/>
            <w:gridSpan w:val="3"/>
          </w:tcPr>
          <w:p>
            <w:pPr>
              <w:jc w:val="right"/>
              <w:ind w:right="120"/>
              <w:spacing w:after="0"/>
              <w:rPr>
                <w:sz w:val="20"/>
                <w:szCs w:val="20"/>
                <w:color w:val="auto"/>
              </w:rPr>
            </w:pPr>
            <w:r>
              <w:rPr>
                <w:rFonts w:ascii="Arial" w:cs="Arial" w:eastAsia="Arial" w:hAnsi="Arial"/>
                <w:sz w:val="18"/>
                <w:szCs w:val="18"/>
                <w:color w:val="auto"/>
              </w:rPr>
              <w:t>14 (25)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 (0)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Pruritus</w:t>
            </w:r>
          </w:p>
        </w:tc>
        <w:tc>
          <w:tcPr>
            <w:tcW w:w="4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 (24)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 (0)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Mucositis oral</w:t>
            </w:r>
          </w:p>
        </w:tc>
        <w:tc>
          <w:tcPr>
            <w:tcW w:w="4500" w:type="dxa"/>
            <w:vAlign w:val="bottom"/>
            <w:gridSpan w:val="3"/>
          </w:tcPr>
          <w:p>
            <w:pPr>
              <w:jc w:val="right"/>
              <w:ind w:right="120"/>
              <w:spacing w:after="0"/>
              <w:rPr>
                <w:sz w:val="20"/>
                <w:szCs w:val="20"/>
                <w:color w:val="auto"/>
              </w:rPr>
            </w:pPr>
            <w:r>
              <w:rPr>
                <w:rFonts w:ascii="Arial" w:cs="Arial" w:eastAsia="Arial" w:hAnsi="Arial"/>
                <w:sz w:val="18"/>
                <w:szCs w:val="18"/>
                <w:color w:val="auto"/>
              </w:rPr>
              <w:t>12 (22)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 (0)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Fever</w:t>
            </w:r>
          </w:p>
        </w:tc>
        <w:tc>
          <w:tcPr>
            <w:tcW w:w="4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 (22)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 (2)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Skin and subcutaneous tissue disorders</w:t>
            </w:r>
          </w:p>
        </w:tc>
        <w:tc>
          <w:tcPr>
            <w:tcW w:w="4500" w:type="dxa"/>
            <w:vAlign w:val="bottom"/>
            <w:gridSpan w:val="3"/>
          </w:tcPr>
          <w:p>
            <w:pPr>
              <w:jc w:val="right"/>
              <w:ind w:right="120"/>
              <w:spacing w:after="0"/>
              <w:rPr>
                <w:sz w:val="20"/>
                <w:szCs w:val="20"/>
                <w:color w:val="auto"/>
              </w:rPr>
            </w:pPr>
            <w:r>
              <w:rPr>
                <w:rFonts w:ascii="Arial" w:cs="Arial" w:eastAsia="Arial" w:hAnsi="Arial"/>
                <w:sz w:val="18"/>
                <w:szCs w:val="18"/>
                <w:color w:val="auto"/>
              </w:rPr>
              <w:t>12 (22)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 (0)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Tremor</w:t>
            </w:r>
          </w:p>
        </w:tc>
        <w:tc>
          <w:tcPr>
            <w:tcW w:w="4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 (20)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 (2)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Anorexia</w:t>
            </w:r>
          </w:p>
        </w:tc>
        <w:tc>
          <w:tcPr>
            <w:tcW w:w="4500" w:type="dxa"/>
            <w:vAlign w:val="bottom"/>
            <w:gridSpan w:val="3"/>
          </w:tcPr>
          <w:p>
            <w:pPr>
              <w:jc w:val="right"/>
              <w:ind w:right="120"/>
              <w:spacing w:after="0"/>
              <w:rPr>
                <w:sz w:val="20"/>
                <w:szCs w:val="20"/>
                <w:color w:val="auto"/>
              </w:rPr>
            </w:pPr>
            <w:r>
              <w:rPr>
                <w:rFonts w:ascii="Arial" w:cs="Arial" w:eastAsia="Arial" w:hAnsi="Arial"/>
                <w:sz w:val="18"/>
                <w:szCs w:val="18"/>
                <w:color w:val="auto"/>
              </w:rPr>
              <w:t>11 (20)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 (0)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Alanine aminotransferase increased</w:t>
            </w:r>
          </w:p>
        </w:tc>
        <w:tc>
          <w:tcPr>
            <w:tcW w:w="4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 (20)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 (2)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Lung infection</w:t>
            </w:r>
          </w:p>
        </w:tc>
        <w:tc>
          <w:tcPr>
            <w:tcW w:w="4500" w:type="dxa"/>
            <w:vAlign w:val="bottom"/>
            <w:gridSpan w:val="3"/>
          </w:tcPr>
          <w:p>
            <w:pPr>
              <w:jc w:val="right"/>
              <w:ind w:right="120"/>
              <w:spacing w:after="0"/>
              <w:rPr>
                <w:sz w:val="20"/>
                <w:szCs w:val="20"/>
                <w:color w:val="auto"/>
              </w:rPr>
            </w:pPr>
            <w:r>
              <w:rPr>
                <w:rFonts w:ascii="Arial" w:cs="Arial" w:eastAsia="Arial" w:hAnsi="Arial"/>
                <w:sz w:val="18"/>
                <w:szCs w:val="18"/>
                <w:color w:val="auto"/>
              </w:rPr>
              <w:t>11 (20)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 (16)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560" w:type="dxa"/>
            <w:vAlign w:val="bottom"/>
          </w:tcPr>
          <w:p>
            <w:pPr>
              <w:jc w:val="right"/>
              <w:ind w:right="2472"/>
              <w:spacing w:after="0"/>
              <w:rPr>
                <w:sz w:val="20"/>
                <w:szCs w:val="20"/>
                <w:color w:val="auto"/>
              </w:rPr>
            </w:pPr>
            <w:r>
              <w:rPr>
                <w:rFonts w:ascii="Arial" w:cs="Arial" w:eastAsia="Arial" w:hAnsi="Arial"/>
                <w:sz w:val="18"/>
                <w:szCs w:val="18"/>
                <w:color w:val="auto"/>
              </w:rPr>
              <w:t>114</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ind w:right="460" w:firstLine="348"/>
        <w:spacing w:after="0" w:line="268" w:lineRule="auto"/>
        <w:rPr>
          <w:sz w:val="20"/>
          <w:szCs w:val="20"/>
          <w:color w:val="auto"/>
        </w:rPr>
      </w:pPr>
      <w:r>
        <w:rPr>
          <w:rFonts w:ascii="Arial" w:cs="Arial" w:eastAsia="Arial" w:hAnsi="Arial"/>
          <w:sz w:val="18"/>
          <w:szCs w:val="18"/>
          <w:color w:val="auto"/>
        </w:rPr>
        <w:t>The most common AEs, determined by an investigator to be possibly, probably or definitely related to APR-246 or azacitidine, are summarized in the following chart.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Most common reported AEs with possible, probable or definite relation to APR-246 or azacitidine (³10%)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cutoff: July 15, 2019 (n=55)</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260" w:type="dxa"/>
            <w:vAlign w:val="bottom"/>
            <w:gridSpan w:val="3"/>
          </w:tcPr>
          <w:p>
            <w:pPr>
              <w:spacing w:after="0"/>
              <w:rPr>
                <w:sz w:val="20"/>
                <w:szCs w:val="20"/>
                <w:color w:val="auto"/>
              </w:rPr>
            </w:pPr>
            <w:r>
              <w:rPr>
                <w:rFonts w:ascii="Arial" w:cs="Arial" w:eastAsia="Arial" w:hAnsi="Arial"/>
                <w:sz w:val="14"/>
                <w:szCs w:val="14"/>
                <w:b w:val="1"/>
                <w:bCs w:val="1"/>
                <w:color w:val="auto"/>
              </w:rPr>
              <w:t>Adverse event, n (%)</w:t>
            </w:r>
          </w:p>
        </w:tc>
        <w:tc>
          <w:tcPr>
            <w:tcW w:w="9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Any grade</w:t>
            </w:r>
          </w:p>
        </w:tc>
        <w:tc>
          <w:tcPr>
            <w:tcW w:w="9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Grade ³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Nausea</w:t>
            </w:r>
          </w:p>
        </w:tc>
        <w:tc>
          <w:tcPr>
            <w:tcW w:w="6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(58)</w:t>
            </w:r>
          </w:p>
        </w:tc>
        <w:tc>
          <w:tcPr>
            <w:tcW w:w="5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0 (0)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Vomiting</w:t>
            </w: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(44)</w:t>
            </w:r>
          </w:p>
        </w:tc>
        <w:tc>
          <w:tcPr>
            <w:tcW w:w="5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Dizziness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(31)</w:t>
            </w:r>
          </w:p>
        </w:tc>
        <w:tc>
          <w:tcPr>
            <w:tcW w:w="5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Constipation</w:t>
            </w: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(24)</w:t>
            </w:r>
          </w:p>
        </w:tc>
        <w:tc>
          <w:tcPr>
            <w:tcW w:w="5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0 (0)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Peripheral sensory neuropathy</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(22)</w:t>
            </w:r>
          </w:p>
        </w:tc>
        <w:tc>
          <w:tcPr>
            <w:tcW w:w="5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0 (0)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Leukopenia</w:t>
            </w: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(22)</w:t>
            </w: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Thrombocytopenia</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Neutropenia</w:t>
            </w: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(18)</w:t>
            </w: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Fatigue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(15)</w:t>
            </w:r>
          </w:p>
        </w:tc>
        <w:tc>
          <w:tcPr>
            <w:tcW w:w="5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0 (0)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Tremor</w:t>
            </w: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(15)</w:t>
            </w:r>
          </w:p>
        </w:tc>
        <w:tc>
          <w:tcPr>
            <w:tcW w:w="5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0 (0)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Pruritus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(13)</w:t>
            </w:r>
          </w:p>
        </w:tc>
        <w:tc>
          <w:tcPr>
            <w:tcW w:w="5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0 (0)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Diarrhea</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6 (11)</w:t>
            </w:r>
          </w:p>
        </w:tc>
        <w:tc>
          <w:tcPr>
            <w:tcW w:w="5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0 (0)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Anorexia</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 (11)</w:t>
            </w:r>
          </w:p>
        </w:tc>
        <w:tc>
          <w:tcPr>
            <w:tcW w:w="5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0 (0)</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Fifty-eight </w:t>
      </w:r>
      <w:r>
        <w:rPr>
          <w:rFonts w:ascii="Arial" w:cs="Arial" w:eastAsia="Arial" w:hAnsi="Arial"/>
          <w:sz w:val="16"/>
          <w:szCs w:val="16"/>
          <w:i w:val="1"/>
          <w:iCs w:val="1"/>
          <w:color w:val="auto"/>
        </w:rPr>
        <w:t>TP53</w:t>
      </w:r>
      <w:r>
        <w:rPr>
          <w:rFonts w:ascii="Arial" w:cs="Arial" w:eastAsia="Arial" w:hAnsi="Arial"/>
          <w:sz w:val="16"/>
          <w:szCs w:val="16"/>
          <w:color w:val="auto"/>
        </w:rPr>
        <w:t xml:space="preserve"> mutations, representing 49 unique mutations, were identified in the subset of 41 evaluable MDS and AML patients. Consistent with prior published findings, the majority of these were missense mutations (79%) and located in the DNA-binding domain (93%). Other </w:t>
      </w:r>
      <w:r>
        <w:rPr>
          <w:rFonts w:ascii="Arial" w:cs="Arial" w:eastAsia="Arial" w:hAnsi="Arial"/>
          <w:sz w:val="16"/>
          <w:szCs w:val="16"/>
          <w:i w:val="1"/>
          <w:iCs w:val="1"/>
          <w:color w:val="auto"/>
        </w:rPr>
        <w:t>TP53</w:t>
      </w:r>
      <w:r>
        <w:rPr>
          <w:rFonts w:ascii="Arial" w:cs="Arial" w:eastAsia="Arial" w:hAnsi="Arial"/>
          <w:sz w:val="16"/>
          <w:szCs w:val="16"/>
          <w:color w:val="auto"/>
        </w:rPr>
        <w:t xml:space="preserve"> mutations sequenced in the 41 evaluable MDS and AML patients included insertion-deletion mutations (3%), splice-site mutations (5%), frameshift mutations (5%) and nonsense mutations (7%). The distribution of </w:t>
      </w:r>
      <w:r>
        <w:rPr>
          <w:rFonts w:ascii="Arial" w:cs="Arial" w:eastAsia="Arial" w:hAnsi="Arial"/>
          <w:sz w:val="16"/>
          <w:szCs w:val="16"/>
          <w:i w:val="1"/>
          <w:iCs w:val="1"/>
          <w:color w:val="auto"/>
        </w:rPr>
        <w:t>TP53</w:t>
      </w:r>
      <w:r>
        <w:rPr>
          <w:rFonts w:ascii="Arial" w:cs="Arial" w:eastAsia="Arial" w:hAnsi="Arial"/>
          <w:sz w:val="16"/>
          <w:szCs w:val="16"/>
          <w:color w:val="auto"/>
        </w:rPr>
        <w:t xml:space="preserve"> mutations by type and breadth of mutations by response are shown in the figure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TP53 </w:t>
      </w:r>
      <w:r>
        <w:rPr>
          <w:rFonts w:ascii="Arial" w:cs="Arial" w:eastAsia="Arial" w:hAnsi="Arial"/>
          <w:sz w:val="18"/>
          <w:szCs w:val="18"/>
          <w:b w:val="1"/>
          <w:bCs w:val="1"/>
          <w:color w:val="auto"/>
        </w:rPr>
        <w:t>mutations by type in evaluable MDS/AML patients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cutoff: July 15, 2019 (n=41)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144145</wp:posOffset>
            </wp:positionV>
            <wp:extent cx="5866130" cy="12947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866130" cy="129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TP53 </w:t>
      </w:r>
      <w:r>
        <w:rPr>
          <w:rFonts w:ascii="Arial" w:cs="Arial" w:eastAsia="Arial" w:hAnsi="Arial"/>
          <w:sz w:val="18"/>
          <w:szCs w:val="18"/>
          <w:b w:val="1"/>
          <w:bCs w:val="1"/>
          <w:color w:val="auto"/>
        </w:rPr>
        <w:t>mutations by best response in evaluable MDS/AML patients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cutoff: July 15, 2019 (n=41)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144145</wp:posOffset>
            </wp:positionV>
            <wp:extent cx="5866130" cy="12947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866130" cy="129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19" w:name="page120"/>
    <w:bookmarkEnd w:id="119"/>
    <w:p>
      <w:pPr>
        <w:ind w:left="540"/>
        <w:spacing w:after="0"/>
        <w:rPr>
          <w:sz w:val="20"/>
          <w:szCs w:val="20"/>
          <w:color w:val="auto"/>
        </w:rPr>
      </w:pPr>
      <w:r>
        <w:rPr>
          <w:rFonts w:ascii="Arial" w:cs="Arial" w:eastAsia="Arial" w:hAnsi="Arial"/>
          <w:sz w:val="18"/>
          <w:szCs w:val="18"/>
          <w:i w:val="1"/>
          <w:iCs w:val="1"/>
          <w:color w:val="auto"/>
        </w:rPr>
        <w:t>The French Phase 1b/2 MDS/AML Trial</w:t>
      </w:r>
    </w:p>
    <w:p>
      <w:pPr>
        <w:spacing w:after="0" w:line="225"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are supporting an ongoing investigator-initiated single-arm, open-label Phase 1b/2 trial in France by the Groupe Francophone des Myélodysplasies, or GFM, under lead investigator Prof. Pierre Fenaux, to expand the adverse event and efficacy data set in MDS and AML patients treated with the combination of APR-246 and azacitidine. The trial was initiated in September 2018 and reached final enrollment of 53 patients in July 2019. The median age of enrolled patients is 73 years. Thirty-four of 53 patients (64%) had a diagnosis of MDS and 19/53 (36%) with AML. At baseline, 74% of MDS patients were very high risk by IPSS-R. Complex karyotype was found in 89% of enrolled patients.</w:t>
      </w:r>
    </w:p>
    <w:p>
      <w:pPr>
        <w:spacing w:after="0" w:line="197" w:lineRule="exact"/>
        <w:rPr>
          <w:sz w:val="20"/>
          <w:szCs w:val="20"/>
          <w:color w:val="auto"/>
        </w:rPr>
      </w:pPr>
    </w:p>
    <w:p>
      <w:pPr>
        <w:ind w:firstLine="348"/>
        <w:spacing w:after="0" w:line="270" w:lineRule="auto"/>
        <w:rPr>
          <w:sz w:val="20"/>
          <w:szCs w:val="20"/>
          <w:color w:val="auto"/>
        </w:rPr>
      </w:pPr>
      <w:r>
        <w:rPr>
          <w:rFonts w:ascii="Arial" w:cs="Arial" w:eastAsia="Arial" w:hAnsi="Arial"/>
          <w:sz w:val="16"/>
          <w:szCs w:val="16"/>
          <w:color w:val="auto"/>
        </w:rPr>
        <w:t>The protocol specifies administration of 4500 mg/d APR-246 as a 6-hour intravenous infusion daily for four consecutive days, with administration of 75 mg/m</w:t>
      </w:r>
      <w:r>
        <w:rPr>
          <w:rFonts w:ascii="Arial" w:cs="Arial" w:eastAsia="Arial" w:hAnsi="Arial"/>
          <w:sz w:val="26"/>
          <w:szCs w:val="26"/>
          <w:color w:val="auto"/>
          <w:vertAlign w:val="superscript"/>
        </w:rPr>
        <w:t>2</w:t>
      </w:r>
      <w:r>
        <w:rPr>
          <w:rFonts w:ascii="Arial" w:cs="Arial" w:eastAsia="Arial" w:hAnsi="Arial"/>
          <w:sz w:val="16"/>
          <w:szCs w:val="16"/>
          <w:color w:val="auto"/>
        </w:rPr>
        <w:t>/d azacitidine by sub-cutaneous injection or intravenously beginning on Day 4 after completion of APR-246 infusion and continuing for 6 additional days. Patients who receive benefit from frontline therapy and undergo allo-HCT are eligible to continue with post-transplant maintenance therapy with APR-246 and azacitidine. As of July 2019, of the 53 patients enrolled, there were 11 MDS patients and 5 AML patients that had at least one serial bone marrow biopsy performed and were evaluable for response in accordance with trial protocol. Responses were achieved in 8/11 (73%) of MDS patients with 55% CR rate, and 4/5 (80%) of AML patients with a 60% CR rate, for a combined 75% ORR and 56% CR rate. As demonstrated in the following table, these data from the French Phase 1b/2 MDS/AML Trial are qualitatively consistent with data from the U.S. Phase 1b/2 MDS/AML Trial.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best response in French Phase 1b/2 MDS/AML Trial and U.S. Phase 1b/2 MDS/AML Trial</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6"/>
              </w:rPr>
              <w:t>French phase 1b/2</w:t>
            </w:r>
          </w:p>
        </w:tc>
        <w:tc>
          <w:tcPr>
            <w:tcW w:w="160" w:type="dxa"/>
            <w:vAlign w:val="bottom"/>
          </w:tcPr>
          <w:p>
            <w:pPr>
              <w:spacing w:after="0"/>
              <w:rPr>
                <w:sz w:val="14"/>
                <w:szCs w:val="14"/>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U.S. phase 1b/2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MDS/AML trial</w:t>
            </w:r>
          </w:p>
        </w:tc>
        <w:tc>
          <w:tcPr>
            <w:tcW w:w="160" w:type="dxa"/>
            <w:vAlign w:val="bottom"/>
          </w:tcPr>
          <w:p>
            <w:pPr>
              <w:spacing w:after="0"/>
              <w:rPr>
                <w:sz w:val="12"/>
                <w:szCs w:val="12"/>
                <w:color w:val="auto"/>
              </w:rPr>
            </w:pPr>
          </w:p>
        </w:tc>
        <w:tc>
          <w:tcPr>
            <w:tcW w:w="13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MDS/AML trial</w:t>
            </w:r>
          </w:p>
        </w:tc>
        <w:tc>
          <w:tcPr>
            <w:tcW w:w="0" w:type="dxa"/>
            <w:vAlign w:val="bottom"/>
          </w:tcPr>
          <w:p>
            <w:pPr>
              <w:spacing w:after="0"/>
              <w:rPr>
                <w:sz w:val="1"/>
                <w:szCs w:val="1"/>
                <w:color w:val="auto"/>
              </w:rPr>
            </w:pPr>
          </w:p>
        </w:tc>
      </w:tr>
      <w:tr>
        <w:trPr>
          <w:trHeight w:val="161"/>
        </w:trPr>
        <w:tc>
          <w:tcPr>
            <w:tcW w:w="6440" w:type="dxa"/>
            <w:vAlign w:val="bottom"/>
            <w:gridSpan w:val="4"/>
          </w:tcPr>
          <w:p>
            <w:pPr>
              <w:spacing w:after="0"/>
              <w:rPr>
                <w:sz w:val="20"/>
                <w:szCs w:val="20"/>
                <w:color w:val="auto"/>
              </w:rPr>
            </w:pPr>
            <w:r>
              <w:rPr>
                <w:rFonts w:ascii="Arial" w:cs="Arial" w:eastAsia="Arial" w:hAnsi="Arial"/>
                <w:sz w:val="14"/>
                <w:szCs w:val="14"/>
                <w:b w:val="1"/>
                <w:bCs w:val="1"/>
                <w:color w:val="auto"/>
              </w:rPr>
              <w:t>MDS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(n=11)</w:t>
            </w:r>
          </w:p>
        </w:tc>
        <w:tc>
          <w:tcPr>
            <w:tcW w:w="16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(n=33)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ORR,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tcPr>
          <w:p>
            <w:pPr>
              <w:spacing w:after="0"/>
              <w:rPr>
                <w:sz w:val="20"/>
                <w:szCs w:val="20"/>
                <w:color w:val="auto"/>
              </w:rPr>
            </w:pPr>
            <w:r>
              <w:rPr>
                <w:rFonts w:ascii="Arial" w:cs="Arial" w:eastAsia="Arial" w:hAnsi="Arial"/>
                <w:sz w:val="18"/>
                <w:szCs w:val="18"/>
                <w:b w:val="1"/>
                <w:bCs w:val="1"/>
                <w:color w:val="auto"/>
              </w:rPr>
              <w:t>CR, %</w:t>
            </w:r>
          </w:p>
        </w:tc>
        <w:tc>
          <w:tcPr>
            <w:tcW w:w="1240" w:type="dxa"/>
            <w:vAlign w:val="bottom"/>
          </w:tcPr>
          <w:p>
            <w:pPr>
              <w:jc w:val="right"/>
              <w:spacing w:after="0"/>
              <w:rPr>
                <w:sz w:val="20"/>
                <w:szCs w:val="20"/>
                <w:color w:val="auto"/>
              </w:rPr>
            </w:pPr>
            <w:r>
              <w:rPr>
                <w:rFonts w:ascii="Arial" w:cs="Arial" w:eastAsia="Arial" w:hAnsi="Arial"/>
                <w:sz w:val="18"/>
                <w:szCs w:val="18"/>
                <w:color w:val="auto"/>
              </w:rPr>
              <w:t>55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mCR + HI,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tcPr>
          <w:p>
            <w:pPr>
              <w:spacing w:after="0"/>
              <w:rPr>
                <w:sz w:val="20"/>
                <w:szCs w:val="20"/>
                <w:color w:val="auto"/>
              </w:rPr>
            </w:pPr>
            <w:r>
              <w:rPr>
                <w:rFonts w:ascii="Arial" w:cs="Arial" w:eastAsia="Arial" w:hAnsi="Arial"/>
                <w:sz w:val="18"/>
                <w:szCs w:val="18"/>
                <w:b w:val="1"/>
                <w:bCs w:val="1"/>
                <w:color w:val="auto"/>
              </w:rPr>
              <w:t>mCR, %</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HI,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8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6"/>
              </w:rPr>
              <w:t>French phase 1b/2</w:t>
            </w:r>
          </w:p>
        </w:tc>
        <w:tc>
          <w:tcPr>
            <w:tcW w:w="160" w:type="dxa"/>
            <w:vAlign w:val="bottom"/>
          </w:tcPr>
          <w:p>
            <w:pPr>
              <w:spacing w:after="0"/>
              <w:rPr>
                <w:sz w:val="24"/>
                <w:szCs w:val="24"/>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U.S. phase 1b/2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MDS/AML trial</w:t>
            </w:r>
          </w:p>
        </w:tc>
        <w:tc>
          <w:tcPr>
            <w:tcW w:w="160" w:type="dxa"/>
            <w:vAlign w:val="bottom"/>
          </w:tcPr>
          <w:p>
            <w:pPr>
              <w:spacing w:after="0"/>
              <w:rPr>
                <w:sz w:val="12"/>
                <w:szCs w:val="12"/>
                <w:color w:val="auto"/>
              </w:rPr>
            </w:pPr>
          </w:p>
        </w:tc>
        <w:tc>
          <w:tcPr>
            <w:tcW w:w="13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MDS/AML trial</w:t>
            </w:r>
          </w:p>
        </w:tc>
        <w:tc>
          <w:tcPr>
            <w:tcW w:w="0" w:type="dxa"/>
            <w:vAlign w:val="bottom"/>
          </w:tcPr>
          <w:p>
            <w:pPr>
              <w:spacing w:after="0"/>
              <w:rPr>
                <w:sz w:val="1"/>
                <w:szCs w:val="1"/>
                <w:color w:val="auto"/>
              </w:rPr>
            </w:pPr>
          </w:p>
        </w:tc>
      </w:tr>
      <w:tr>
        <w:trPr>
          <w:trHeight w:val="161"/>
        </w:trPr>
        <w:tc>
          <w:tcPr>
            <w:tcW w:w="6440" w:type="dxa"/>
            <w:vAlign w:val="bottom"/>
            <w:gridSpan w:val="4"/>
          </w:tcPr>
          <w:p>
            <w:pPr>
              <w:spacing w:after="0"/>
              <w:rPr>
                <w:sz w:val="20"/>
                <w:szCs w:val="20"/>
                <w:color w:val="auto"/>
              </w:rPr>
            </w:pPr>
            <w:r>
              <w:rPr>
                <w:rFonts w:ascii="Arial" w:cs="Arial" w:eastAsia="Arial" w:hAnsi="Arial"/>
                <w:sz w:val="14"/>
                <w:szCs w:val="14"/>
                <w:b w:val="1"/>
                <w:bCs w:val="1"/>
                <w:color w:val="auto"/>
              </w:rPr>
              <w:t>AML</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8"/>
              </w:rPr>
              <w:t>(n=5)</w:t>
            </w:r>
          </w:p>
        </w:tc>
        <w:tc>
          <w:tcPr>
            <w:tcW w:w="16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(n=8)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ORR,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tcPr>
          <w:p>
            <w:pPr>
              <w:spacing w:after="0"/>
              <w:rPr>
                <w:sz w:val="20"/>
                <w:szCs w:val="20"/>
                <w:color w:val="auto"/>
              </w:rPr>
            </w:pPr>
            <w:r>
              <w:rPr>
                <w:rFonts w:ascii="Arial" w:cs="Arial" w:eastAsia="Arial" w:hAnsi="Arial"/>
                <w:sz w:val="18"/>
                <w:szCs w:val="18"/>
                <w:b w:val="1"/>
                <w:bCs w:val="1"/>
                <w:color w:val="auto"/>
              </w:rPr>
              <w:t>CR, %</w:t>
            </w:r>
          </w:p>
        </w:tc>
        <w:tc>
          <w:tcPr>
            <w:tcW w:w="1240" w:type="dxa"/>
            <w:vAlign w:val="bottom"/>
          </w:tcPr>
          <w:p>
            <w:pPr>
              <w:jc w:val="right"/>
              <w:spacing w:after="0"/>
              <w:rPr>
                <w:sz w:val="20"/>
                <w:szCs w:val="20"/>
                <w:color w:val="auto"/>
              </w:rPr>
            </w:pPr>
            <w:r>
              <w:rPr>
                <w:rFonts w:ascii="Arial" w:cs="Arial" w:eastAsia="Arial" w:hAnsi="Arial"/>
                <w:sz w:val="18"/>
                <w:szCs w:val="18"/>
                <w:color w:val="auto"/>
              </w:rPr>
              <w:t>60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MLFS,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gridSpan w:val="3"/>
          </w:tcPr>
          <w:p>
            <w:pPr>
              <w:spacing w:after="0"/>
              <w:rPr>
                <w:sz w:val="20"/>
                <w:szCs w:val="20"/>
                <w:color w:val="auto"/>
              </w:rPr>
            </w:pPr>
            <w:r>
              <w:rPr>
                <w:rFonts w:ascii="Arial" w:cs="Arial" w:eastAsia="Arial" w:hAnsi="Arial"/>
                <w:sz w:val="18"/>
                <w:szCs w:val="18"/>
                <w:b w:val="1"/>
                <w:bCs w:val="1"/>
                <w:color w:val="auto"/>
              </w:rPr>
              <w:t>HI, %</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72"/>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6"/>
              </w:rPr>
              <w:t>French phase 1b/2</w:t>
            </w:r>
          </w:p>
        </w:tc>
        <w:tc>
          <w:tcPr>
            <w:tcW w:w="160" w:type="dxa"/>
            <w:vAlign w:val="bottom"/>
          </w:tcPr>
          <w:p>
            <w:pPr>
              <w:spacing w:after="0"/>
              <w:rPr>
                <w:sz w:val="24"/>
                <w:szCs w:val="24"/>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U.S. phase 1b/2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MDS/AML trial</w:t>
            </w:r>
          </w:p>
        </w:tc>
        <w:tc>
          <w:tcPr>
            <w:tcW w:w="160" w:type="dxa"/>
            <w:vAlign w:val="bottom"/>
          </w:tcPr>
          <w:p>
            <w:pPr>
              <w:spacing w:after="0"/>
              <w:rPr>
                <w:sz w:val="12"/>
                <w:szCs w:val="12"/>
                <w:color w:val="auto"/>
              </w:rPr>
            </w:pPr>
          </w:p>
        </w:tc>
        <w:tc>
          <w:tcPr>
            <w:tcW w:w="13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MDS/AML trial</w:t>
            </w:r>
          </w:p>
        </w:tc>
        <w:tc>
          <w:tcPr>
            <w:tcW w:w="0" w:type="dxa"/>
            <w:vAlign w:val="bottom"/>
          </w:tcPr>
          <w:p>
            <w:pPr>
              <w:spacing w:after="0"/>
              <w:rPr>
                <w:sz w:val="1"/>
                <w:szCs w:val="1"/>
                <w:color w:val="auto"/>
              </w:rPr>
            </w:pPr>
          </w:p>
        </w:tc>
      </w:tr>
      <w:tr>
        <w:trPr>
          <w:trHeight w:val="161"/>
        </w:trPr>
        <w:tc>
          <w:tcPr>
            <w:tcW w:w="6440" w:type="dxa"/>
            <w:vAlign w:val="bottom"/>
            <w:gridSpan w:val="4"/>
          </w:tcPr>
          <w:p>
            <w:pPr>
              <w:spacing w:after="0"/>
              <w:rPr>
                <w:sz w:val="20"/>
                <w:szCs w:val="20"/>
                <w:color w:val="auto"/>
              </w:rPr>
            </w:pPr>
            <w:r>
              <w:rPr>
                <w:rFonts w:ascii="Arial" w:cs="Arial" w:eastAsia="Arial" w:hAnsi="Arial"/>
                <w:sz w:val="14"/>
                <w:szCs w:val="14"/>
                <w:b w:val="1"/>
                <w:bCs w:val="1"/>
                <w:color w:val="auto"/>
              </w:rPr>
              <w:t>Combined MDS + AML</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(n=16)</w:t>
            </w:r>
          </w:p>
        </w:tc>
        <w:tc>
          <w:tcPr>
            <w:tcW w:w="16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(n=41)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ORR, %</w:t>
            </w:r>
          </w:p>
        </w:tc>
        <w:tc>
          <w:tcPr>
            <w:tcW w:w="504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tcPr>
          <w:p>
            <w:pPr>
              <w:spacing w:after="0"/>
              <w:rPr>
                <w:sz w:val="20"/>
                <w:szCs w:val="20"/>
                <w:color w:val="auto"/>
              </w:rPr>
            </w:pPr>
            <w:r>
              <w:rPr>
                <w:rFonts w:ascii="Arial" w:cs="Arial" w:eastAsia="Arial" w:hAnsi="Arial"/>
                <w:sz w:val="18"/>
                <w:szCs w:val="18"/>
                <w:b w:val="1"/>
                <w:bCs w:val="1"/>
                <w:color w:val="auto"/>
              </w:rPr>
              <w:t>CR, %</w:t>
            </w:r>
          </w:p>
        </w:tc>
        <w:tc>
          <w:tcPr>
            <w:tcW w:w="1240" w:type="dxa"/>
            <w:vAlign w:val="bottom"/>
          </w:tcPr>
          <w:p>
            <w:pPr>
              <w:jc w:val="right"/>
              <w:spacing w:after="0"/>
              <w:rPr>
                <w:sz w:val="20"/>
                <w:szCs w:val="20"/>
                <w:color w:val="auto"/>
              </w:rPr>
            </w:pPr>
            <w:r>
              <w:rPr>
                <w:rFonts w:ascii="Arial" w:cs="Arial" w:eastAsia="Arial" w:hAnsi="Arial"/>
                <w:sz w:val="18"/>
                <w:szCs w:val="18"/>
                <w:color w:val="auto"/>
              </w:rPr>
              <w:t>56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mCR + HI / CRi / CRp,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tcPr>
          <w:p>
            <w:pPr>
              <w:spacing w:after="0"/>
              <w:rPr>
                <w:sz w:val="20"/>
                <w:szCs w:val="20"/>
                <w:color w:val="auto"/>
              </w:rPr>
            </w:pPr>
            <w:r>
              <w:rPr>
                <w:rFonts w:ascii="Arial" w:cs="Arial" w:eastAsia="Arial" w:hAnsi="Arial"/>
                <w:sz w:val="18"/>
                <w:szCs w:val="18"/>
                <w:b w:val="1"/>
                <w:bCs w:val="1"/>
                <w:color w:val="auto"/>
              </w:rPr>
              <w:t>mCR / MLFS, %</w:t>
            </w: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HI,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Serious adverse events, regardless of causality, reported in more than one patient in the French Phase 1b/2 MDS/AML Trial were: Febrile neutropenia (23%), device related infection (9%), sepsis (8%), pneumonia (6%), cerebellar syndrome (4%), lung disorder (4%), lung infection (4%), subdural hematoma (4%), urinary tract infection (4%).</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0" w:name="page121"/>
    <w:bookmarkEnd w:id="120"/>
    <w:p>
      <w:pPr>
        <w:ind w:left="540"/>
        <w:spacing w:after="0"/>
        <w:rPr>
          <w:sz w:val="20"/>
          <w:szCs w:val="20"/>
          <w:color w:val="auto"/>
        </w:rPr>
      </w:pPr>
      <w:r>
        <w:rPr>
          <w:rFonts w:ascii="Arial" w:cs="Arial" w:eastAsia="Arial" w:hAnsi="Arial"/>
          <w:sz w:val="18"/>
          <w:szCs w:val="18"/>
          <w:i w:val="1"/>
          <w:iCs w:val="1"/>
          <w:color w:val="auto"/>
        </w:rPr>
        <w:t>The Phase 2 MDS/AML Post-transplant Trial</w:t>
      </w:r>
    </w:p>
    <w:p>
      <w:pPr>
        <w:spacing w:after="0" w:line="225" w:lineRule="exact"/>
        <w:rPr>
          <w:sz w:val="20"/>
          <w:szCs w:val="20"/>
          <w:color w:val="auto"/>
        </w:rPr>
      </w:pPr>
    </w:p>
    <w:p>
      <w:pPr>
        <w:ind w:right="100" w:firstLine="348"/>
        <w:spacing w:after="0" w:line="284" w:lineRule="auto"/>
        <w:rPr>
          <w:sz w:val="20"/>
          <w:szCs w:val="20"/>
          <w:color w:val="auto"/>
        </w:rPr>
      </w:pPr>
      <w:r>
        <w:rPr>
          <w:rFonts w:ascii="Arial" w:cs="Arial" w:eastAsia="Arial" w:hAnsi="Arial"/>
          <w:sz w:val="16"/>
          <w:szCs w:val="16"/>
          <w:color w:val="auto"/>
        </w:rPr>
        <w:t xml:space="preserve">There is a significant unmet medical need for more effective therapies for patients with </w:t>
      </w:r>
      <w:r>
        <w:rPr>
          <w:rFonts w:ascii="Arial" w:cs="Arial" w:eastAsia="Arial" w:hAnsi="Arial"/>
          <w:sz w:val="16"/>
          <w:szCs w:val="16"/>
          <w:i w:val="1"/>
          <w:iCs w:val="1"/>
          <w:color w:val="auto"/>
        </w:rPr>
        <w:t>TP53</w:t>
      </w:r>
      <w:r>
        <w:rPr>
          <w:rFonts w:ascii="Arial" w:cs="Arial" w:eastAsia="Arial" w:hAnsi="Arial"/>
          <w:sz w:val="16"/>
          <w:szCs w:val="16"/>
          <w:color w:val="auto"/>
        </w:rPr>
        <w:t xml:space="preserve"> mutant AML and MDS following allo-HCT given that the one year post-transplant relapse-free survival, or RFS, rate is only 30%. In the second quarter of 2019, we opened enrollment to our Phase 2 MDS/AML Post-Transplant Trial to evaluate the benefit of APR-246 with azacitidine on RFS in </w:t>
      </w:r>
      <w:r>
        <w:rPr>
          <w:rFonts w:ascii="Arial" w:cs="Arial" w:eastAsia="Arial" w:hAnsi="Arial"/>
          <w:sz w:val="16"/>
          <w:szCs w:val="16"/>
          <w:i w:val="1"/>
          <w:iCs w:val="1"/>
          <w:color w:val="auto"/>
        </w:rPr>
        <w:t>TP53</w:t>
      </w:r>
      <w:r>
        <w:rPr>
          <w:rFonts w:ascii="Arial" w:cs="Arial" w:eastAsia="Arial" w:hAnsi="Arial"/>
          <w:sz w:val="16"/>
          <w:szCs w:val="16"/>
          <w:color w:val="auto"/>
        </w:rPr>
        <w:t xml:space="preserve"> mutant MDS and AML patients who have received allo-HCT. The protocol</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specifies administration of 3700 mg/d APR-246 as a 6-hour intravenous infusion daily on days 1 through 4, with administration of 35 mg/m</w:t>
      </w:r>
      <w:r>
        <w:rPr>
          <w:rFonts w:ascii="Arial" w:cs="Arial" w:eastAsia="Arial" w:hAnsi="Arial"/>
          <w:sz w:val="29"/>
          <w:szCs w:val="29"/>
          <w:color w:val="auto"/>
          <w:vertAlign w:val="superscript"/>
        </w:rPr>
        <w:t>2</w:t>
      </w:r>
      <w:r>
        <w:rPr>
          <w:rFonts w:ascii="Arial" w:cs="Arial" w:eastAsia="Arial" w:hAnsi="Arial"/>
          <w:sz w:val="18"/>
          <w:szCs w:val="18"/>
          <w:color w:val="auto"/>
        </w:rPr>
        <w:t>/d azacitidine by sub-cutaneous injection or intravenously on days 1 through 5. Patients may receive a maximum of 12 cycles of maintenance therapy in the Phase 2 MDS/AML Post-Transplant Trial. Target enrollment in the trial is 31 patients and the primary endpoint is 1-year RFS. In addition, we will evaluate the adverse event profile of APR-246 with azacitidine as maintenance treatment post-HCT.</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The Phase 1/2 AML Trials</w:t>
      </w:r>
    </w:p>
    <w:p>
      <w:pPr>
        <w:spacing w:after="0" w:line="225"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 xml:space="preserve">We have designed and plan to conduct a Phase 1/2 clinical trial evaluating the adverse event profile and efficacy of treatment with APR-246 and ABT-199/venetoclax, the Bcl-2 inhibitor, with or without azacitidine, in frontline and R/R </w:t>
      </w:r>
      <w:r>
        <w:rPr>
          <w:rFonts w:ascii="Arial" w:cs="Arial" w:eastAsia="Arial" w:hAnsi="Arial"/>
          <w:sz w:val="18"/>
          <w:szCs w:val="18"/>
          <w:i w:val="1"/>
          <w:iCs w:val="1"/>
          <w:color w:val="auto"/>
        </w:rPr>
        <w:t>TP53</w:t>
      </w:r>
      <w:r>
        <w:rPr>
          <w:rFonts w:ascii="Arial" w:cs="Arial" w:eastAsia="Arial" w:hAnsi="Arial"/>
          <w:sz w:val="18"/>
          <w:szCs w:val="18"/>
          <w:color w:val="auto"/>
        </w:rPr>
        <w:t xml:space="preserve"> mutant AML. Bcl-2 is a pro-survival protein that is frequently expressed at high levels in tumor cells and acts to restrict apoptosis. Inhibition of Bcl-2 protein relieves its anti-apoptotic function, thereby augmenting apoptosis. In preclinical trials, we have observed strong synergy when APR-246 and the Bcl-2 inhibitor are combined in the </w:t>
      </w:r>
      <w:r>
        <w:rPr>
          <w:rFonts w:ascii="Arial" w:cs="Arial" w:eastAsia="Arial" w:hAnsi="Arial"/>
          <w:sz w:val="18"/>
          <w:szCs w:val="18"/>
          <w:i w:val="1"/>
          <w:iCs w:val="1"/>
          <w:color w:val="auto"/>
        </w:rPr>
        <w:t>TP53</w:t>
      </w:r>
      <w:r>
        <w:rPr>
          <w:rFonts w:ascii="Arial" w:cs="Arial" w:eastAsia="Arial" w:hAnsi="Arial"/>
          <w:sz w:val="18"/>
          <w:szCs w:val="18"/>
          <w:color w:val="auto"/>
        </w:rPr>
        <w:t xml:space="preserve"> mutant AML cell line, KBM3, as shown in the figure below, and believe that this combination may provide meaningful improvements in durable responses for </w:t>
      </w:r>
      <w:r>
        <w:rPr>
          <w:rFonts w:ascii="Arial" w:cs="Arial" w:eastAsia="Arial" w:hAnsi="Arial"/>
          <w:sz w:val="18"/>
          <w:szCs w:val="18"/>
          <w:i w:val="1"/>
          <w:iCs w:val="1"/>
          <w:color w:val="auto"/>
        </w:rPr>
        <w:t>TP53</w:t>
      </w:r>
      <w:r>
        <w:rPr>
          <w:rFonts w:ascii="Arial" w:cs="Arial" w:eastAsia="Arial" w:hAnsi="Arial"/>
          <w:sz w:val="18"/>
          <w:szCs w:val="18"/>
          <w:color w:val="auto"/>
        </w:rPr>
        <w:t xml:space="preserve"> mutant AML patients with previously untreated and relapsed/refractory AML.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Strong synergy(1) is observed in </w:t>
      </w:r>
      <w:r>
        <w:rPr>
          <w:rFonts w:ascii="Arial" w:cs="Arial" w:eastAsia="Arial" w:hAnsi="Arial"/>
          <w:sz w:val="18"/>
          <w:szCs w:val="18"/>
          <w:b w:val="1"/>
          <w:bCs w:val="1"/>
          <w:i w:val="1"/>
          <w:iCs w:val="1"/>
          <w:color w:val="auto"/>
        </w:rPr>
        <w:t>TP53</w:t>
      </w:r>
      <w:r>
        <w:rPr>
          <w:rFonts w:ascii="Arial" w:cs="Arial" w:eastAsia="Arial" w:hAnsi="Arial"/>
          <w:sz w:val="18"/>
          <w:szCs w:val="18"/>
          <w:b w:val="1"/>
          <w:bCs w:val="1"/>
          <w:color w:val="auto"/>
        </w:rPr>
        <w:t xml:space="preserve"> mutant cells treated with APR-246 and the Bcl-2 inhibitor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6131560" cy="38506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131560" cy="385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40" w:hanging="532"/>
        <w:spacing w:after="0"/>
        <w:tabs>
          <w:tab w:leader="none" w:pos="5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Synergy analyzed using the Highest Single Agent (HSA) method.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ind w:right="20" w:firstLine="351"/>
        <w:spacing w:after="0" w:line="298" w:lineRule="auto"/>
        <w:rPr>
          <w:sz w:val="20"/>
          <w:szCs w:val="20"/>
          <w:color w:val="auto"/>
        </w:rPr>
      </w:pPr>
      <w:r>
        <w:rPr>
          <w:rFonts w:ascii="Arial" w:cs="Arial" w:eastAsia="Arial" w:hAnsi="Arial"/>
          <w:sz w:val="16"/>
          <w:szCs w:val="16"/>
          <w:color w:val="auto"/>
        </w:rPr>
        <w:t xml:space="preserve">Under the anticipated trial design, frontline and R/R </w:t>
      </w:r>
      <w:r>
        <w:rPr>
          <w:rFonts w:ascii="Arial" w:cs="Arial" w:eastAsia="Arial" w:hAnsi="Arial"/>
          <w:sz w:val="16"/>
          <w:szCs w:val="16"/>
          <w:i w:val="1"/>
          <w:iCs w:val="1"/>
          <w:color w:val="auto"/>
        </w:rPr>
        <w:t>TP53</w:t>
      </w:r>
      <w:r>
        <w:rPr>
          <w:rFonts w:ascii="Arial" w:cs="Arial" w:eastAsia="Arial" w:hAnsi="Arial"/>
          <w:sz w:val="16"/>
          <w:szCs w:val="16"/>
          <w:color w:val="auto"/>
        </w:rPr>
        <w:t xml:space="preserve"> mutant AML patients who have received prior HMA therapy will receive treatment with APR-246 and the Bcl-2 inhibitor, and frontline patients who are HMA-naïve will receive treatment with APR-246, Bcl-2 inhibitor and azacitidine. We intend to expand the number of patients in individual arms of the trial, as warranted by adverse event and efficacy data, to enable a path to registration in frontline and R/R AML. We anticipate enrollment of the first patient in the fourth quarter of 2019. The following figure shows the design of the Phase 1/2 AML Trials.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of the Phase 1/2 AML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6457315" cy="22383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457315"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40" w:hanging="532"/>
        <w:spacing w:after="0"/>
        <w:tabs>
          <w:tab w:leader="none" w:pos="5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Intensive chemotherapy</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CR with partial hematologic recovery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in solid tumors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Phase 1b/2 Clinical Trial of APR-246 in Platinum-Sensitive Ovarian Cancer, or PiSARRO</w:t>
      </w:r>
    </w:p>
    <w:p>
      <w:pPr>
        <w:spacing w:after="0" w:line="225"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 xml:space="preserve">As part of the early development strategy, APR-246 was evaluated in clinical trials in ovarian cancer and this decision was based on the anticipated market size and high prevalence of </w:t>
      </w:r>
      <w:r>
        <w:rPr>
          <w:rFonts w:ascii="Arial" w:cs="Arial" w:eastAsia="Arial" w:hAnsi="Arial"/>
          <w:sz w:val="18"/>
          <w:szCs w:val="18"/>
          <w:i w:val="1"/>
          <w:iCs w:val="1"/>
          <w:color w:val="auto"/>
        </w:rPr>
        <w:t>TP53</w:t>
      </w:r>
      <w:r>
        <w:rPr>
          <w:rFonts w:ascii="Arial" w:cs="Arial" w:eastAsia="Arial" w:hAnsi="Arial"/>
          <w:sz w:val="18"/>
          <w:szCs w:val="18"/>
          <w:color w:val="auto"/>
        </w:rPr>
        <w:t xml:space="preserve"> mutation of greater than 95% in high-grade serous ovarian cancer, or HGSOC. In March 2014, a Phase 1b trial was initiated as a part of a combined Phase 1b/2 protocol in platinum-sensitive HGSOC to evaluate APR-246 with carboplatin and pegylated liposomal doxorubicin, or PLD. All patients had previously been treated with platinum-based antineoplastic agents and all had accumulation of p53, as assessed by immunohistochemistry, or IHC, as a surrogate marker of mutant p53. Archival samples were available for 29 patients, of which 27 had DNA of sufficient quality for sequencing and all 27 were confirmed to be </w:t>
      </w:r>
      <w:r>
        <w:rPr>
          <w:rFonts w:ascii="Arial" w:cs="Arial" w:eastAsia="Arial" w:hAnsi="Arial"/>
          <w:sz w:val="18"/>
          <w:szCs w:val="18"/>
          <w:i w:val="1"/>
          <w:iCs w:val="1"/>
          <w:color w:val="auto"/>
        </w:rPr>
        <w:t>TP53</w:t>
      </w:r>
      <w:r>
        <w:rPr>
          <w:rFonts w:ascii="Arial" w:cs="Arial" w:eastAsia="Arial" w:hAnsi="Arial"/>
          <w:sz w:val="18"/>
          <w:szCs w:val="18"/>
          <w:color w:val="auto"/>
        </w:rPr>
        <w:t xml:space="preserve"> mutant.</w:t>
      </w:r>
    </w:p>
    <w:p>
      <w:pPr>
        <w:spacing w:after="0" w:line="198"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completed Phase 1b part of the trial was conducted as a dose-escalation in 35 platinum-sensitive and partially platinum-sensitive patients. The primary trial objectives of the Phase 1b portion were to assess the adverse event profile of APR-246 with carboplatin and PLD, to determine a recommended Phase 2 dose level, or RP2D, and to evaluate the pharmacokinetics of APR-246 with carboplatin and PLD. Tumor response was a secondary objective.</w:t>
      </w:r>
    </w:p>
    <w:p>
      <w:pPr>
        <w:spacing w:after="0" w:line="161" w:lineRule="exact"/>
        <w:rPr>
          <w:sz w:val="20"/>
          <w:szCs w:val="20"/>
          <w:color w:val="auto"/>
        </w:rPr>
      </w:pPr>
    </w:p>
    <w:p>
      <w:pPr>
        <w:ind w:right="420" w:firstLine="348"/>
        <w:spacing w:after="0" w:line="298" w:lineRule="auto"/>
        <w:rPr>
          <w:sz w:val="20"/>
          <w:szCs w:val="20"/>
          <w:color w:val="auto"/>
        </w:rPr>
      </w:pPr>
      <w:r>
        <w:rPr>
          <w:rFonts w:ascii="Arial" w:cs="Arial" w:eastAsia="Arial" w:hAnsi="Arial"/>
          <w:sz w:val="16"/>
          <w:szCs w:val="16"/>
          <w:color w:val="auto"/>
        </w:rPr>
        <w:t>The most frequently reported APR-246-related AEs were nausea, dizziness and fatigue, of which most were low-grade. A limited number of APR-246-related grade 3+ AEs were reported, including neutropenia (37%), vomiting (14%), thrombocytopenia (9%), dizziness (6%), anemia (6%), fatigue (3%), headache (3%) and decreased appetite (3%). Serious adverse events, regardless of causality, reported in more than one patient were: device related infection (17%), vomiting (17%), febrile neutropenia (8%), infection (6%), small intestinal obstruction (6%) and thrombocytopenia (6%).</w:t>
      </w:r>
    </w:p>
    <w:p>
      <w:pPr>
        <w:spacing w:after="0" w:line="167" w:lineRule="exact"/>
        <w:rPr>
          <w:sz w:val="20"/>
          <w:szCs w:val="20"/>
          <w:color w:val="auto"/>
        </w:rPr>
      </w:pPr>
    </w:p>
    <w:p>
      <w:pPr>
        <w:ind w:right="540" w:firstLine="341"/>
        <w:spacing w:after="0" w:line="268" w:lineRule="auto"/>
        <w:rPr>
          <w:sz w:val="20"/>
          <w:szCs w:val="20"/>
          <w:color w:val="auto"/>
        </w:rPr>
      </w:pPr>
      <w:r>
        <w:rPr>
          <w:rFonts w:ascii="Arial" w:cs="Arial" w:eastAsia="Arial" w:hAnsi="Arial"/>
          <w:sz w:val="18"/>
          <w:szCs w:val="18"/>
          <w:color w:val="auto"/>
        </w:rPr>
        <w:t>Although efficacy was not a Phase 1b trial objective, tumor response was evaluated. A 67% ORR was observed in 27 patients who were evaluable for radiological response according to RECIST 1.1,</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ind w:right="40"/>
        <w:spacing w:after="0" w:line="288" w:lineRule="auto"/>
        <w:rPr>
          <w:sz w:val="20"/>
          <w:szCs w:val="20"/>
          <w:color w:val="auto"/>
        </w:rPr>
      </w:pPr>
      <w:r>
        <w:rPr>
          <w:rFonts w:ascii="Arial" w:cs="Arial" w:eastAsia="Arial" w:hAnsi="Arial"/>
          <w:sz w:val="16"/>
          <w:szCs w:val="16"/>
          <w:color w:val="auto"/>
        </w:rPr>
        <w:t>including 11% with complete response and 56% with partial response. In addition, an 84% ORR was observed in 25 patients who were evaluable for CA-125 response according to Gynecologic Cancer InterGroup, or GCIG, criteria. Reductions in lesion size and declines in CA-125 are shown in the following figure below. All patients who were evaluable by RECIST 1.1 achieved a best response of stable disease or better, where stable disease indicates lack of objective response but without disease progression. The median time between prior platinum therapy and disease progression prior to enrollment in the trial, known as platinum free interval, or PFI, was 9.4 months, and 40% of patients had received more than one prior line of platinum-based chemotherapy. Two-thirds of patients enrolled in the trial were partially platinum-sensitive, with PFI 6-12 months. The remaining one-third of patients were platinum-sensitive, with PFI greater than 12 months. The median progression-free survival, or PFS, was 10.2 months across all patients and was 10 months and 11.4 months in partially platinum-sensitive and platinum sensitive patients, respectively. The median OS was 24.3 months. This was the first clinical trial of APR-246 with cytotoxic chemotherapy and we believe that the data demonstrated that the agent can be combined with carboplatin and PLD at standard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115570</wp:posOffset>
            </wp:positionV>
            <wp:extent cx="5866130" cy="22637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66130"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Data supporting the carboplatin and PLD doublet as a treatment option in platinum-sensitive HGSOC were generated in the CALYPSO trial, a phase 3 clinical trial sponsored by an international consortium of 10 cancer research organizations. The CALYPSO trial enrolled 976 patients, randomized to receive either carboplatin and PLD (48%) or carboplatin and paclitaxel (52%). All patients had received a maximum of two prior lines of chemotherapy; in the carboplatin and PLD arm, 88% had received one prior line and 12% had received two prior lines. The median interval since last chemotherapy, or therapy-free interval, was 15.2 months in the carboplatin and PLD arm, of whom 35% had a therapy-free interval of 6-12 months and 65% had a therapy-free interval in excess of 12 months. The most frequently reported AEs in the carboplatin and PLD arm included neutropenia (80%), nausea (78%), fatigue (78%), anemia (66%), constipation (55%) and vomiting (49%). The most common grade 3+ AEs included neutropenia (35%), thrombocytopenia (16%) and anemia (8%). In the carboplatin and PLD arm PFS was reported as 11.3 months and OS as 30.7 months. Median PFS in the carboplatin and PLD arm was greater than the 9.4 months PFS in the carboplatin and paclitaxel arm (hazard ratio: 0.821, 95% CO, 0.72 – 0.94, </w:t>
      </w:r>
      <w:r>
        <w:rPr>
          <w:rFonts w:ascii="Arial" w:cs="Arial" w:eastAsia="Arial" w:hAnsi="Arial"/>
          <w:sz w:val="16"/>
          <w:szCs w:val="16"/>
          <w:i w:val="1"/>
          <w:iCs w:val="1"/>
          <w:color w:val="auto"/>
        </w:rPr>
        <w:t>P</w:t>
      </w:r>
      <w:r>
        <w:rPr>
          <w:rFonts w:ascii="Arial" w:cs="Arial" w:eastAsia="Arial" w:hAnsi="Arial"/>
          <w:sz w:val="16"/>
          <w:szCs w:val="16"/>
          <w:color w:val="auto"/>
        </w:rPr>
        <w:t xml:space="preserve"> = 0.005). Response rates were not reported for the CALYPSO trial. Whereas the CALYPSO trial enrolled a majority of patients with treatment-free interval exceeding 12 months, our PiSARRO Phase 1b trial enrolled a majority of patients with partially platinum-sensitive disease which is generally recognized as a patient population with inferior treatment outcomes.</w:t>
      </w:r>
    </w:p>
    <w:p>
      <w:pPr>
        <w:spacing w:after="0" w:line="181" w:lineRule="exact"/>
        <w:rPr>
          <w:sz w:val="20"/>
          <w:szCs w:val="20"/>
          <w:color w:val="auto"/>
        </w:rPr>
      </w:pPr>
    </w:p>
    <w:p>
      <w:pPr>
        <w:jc w:val="both"/>
        <w:ind w:right="380" w:firstLine="351"/>
        <w:spacing w:after="0" w:line="259" w:lineRule="auto"/>
        <w:rPr>
          <w:sz w:val="20"/>
          <w:szCs w:val="20"/>
          <w:color w:val="auto"/>
        </w:rPr>
      </w:pPr>
      <w:r>
        <w:rPr>
          <w:rFonts w:ascii="Arial" w:cs="Arial" w:eastAsia="Arial" w:hAnsi="Arial"/>
          <w:sz w:val="18"/>
          <w:szCs w:val="18"/>
          <w:color w:val="auto"/>
        </w:rPr>
        <w:t>In the third quarter of 2016, enrollment commenced in the Phase 2 portion of the PiSARRO trial and concluded at 211 patients. The Phase 2 part was an open-label, randomized, controlled multi-center trial to assess whether patients with platinum-sensitive recurrent HGSOC would benefit from treatment with APR-246 in combination with carboplatin/PLD chemotherapy regimen. All patients were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t>required to have accumulation of p53 as assessed by immunohistochemistry, a surrogate marker of mutant p53.</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Patients were randomized in a 1:1 ratio to receive either APR-246 with carboplatin and PLD or carboplatin and PLD only, with treatment to be repeated every 28 days for up to six cycles. Enrollment was concluded in April 2018. The primary endpoint for the Phase 2 part is PFS, defined as the time from registration to the time of disease progression or relapse or death, or the date of last tumor assessment without any such event. Serious adverse events, regardless of causality, reported in more than one patient were: small intestine obstruction (4%), thrombocytopenia (2%), dyspnea (2%), nausea (2%), renal impairment (2%), vomiting (2%), abdominal pain, (1%) anemia (1%), constipation (1%), dehydration (1%), dizziness (1%), infectious pleural effusion (1%), large intestine perforation (1%), urinary tract infection (1%). Upon receipt of final data, we intend to conduct a subset analysis of clinical and molecular characteristics that may influence response and PFS in these patients, and anticipate completing this analysis in the first half of 2020.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 clinical trial of APR-246 in platinum-resistant ovarian cancer, or PiSARRO-R</w:t>
      </w:r>
    </w:p>
    <w:p>
      <w:pPr>
        <w:spacing w:after="0" w:line="225" w:lineRule="exact"/>
        <w:rPr>
          <w:sz w:val="20"/>
          <w:szCs w:val="20"/>
          <w:color w:val="auto"/>
        </w:rPr>
      </w:pPr>
    </w:p>
    <w:p>
      <w:pPr>
        <w:ind w:right="80" w:firstLine="351"/>
        <w:spacing w:after="0" w:line="302" w:lineRule="auto"/>
        <w:rPr>
          <w:sz w:val="20"/>
          <w:szCs w:val="20"/>
          <w:color w:val="auto"/>
        </w:rPr>
      </w:pPr>
      <w:r>
        <w:rPr>
          <w:rFonts w:ascii="Arial" w:cs="Arial" w:eastAsia="Arial" w:hAnsi="Arial"/>
          <w:sz w:val="15"/>
          <w:szCs w:val="15"/>
          <w:color w:val="auto"/>
        </w:rPr>
        <w:t>In July 2017 we initiated an open-label, multicenter Phase 2 trial, PiSARRO-R, to evaluate the adverse event profile and preliminary efficacy of varying infusion regimens of APR-246 with systemic PLD chemotherapy in platinum-resistant HGSOC. The trial enrolled 36 patients and all patients were required to have recurrent disease with PFI between 4 weeks and 6 months, and accumulation of p53 as assessed by immunohistochemistry, a surrogate marker of mutant p53. The majority (69%) of patients had received 2 or more prior lines of chemotherapy. Patients received either a 4500 mg/d fixed dose of APR-246 as a 6 hour</w:t>
      </w:r>
    </w:p>
    <w:p>
      <w:pPr>
        <w:spacing w:after="0" w:line="3"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intravenous infusion (n=28, 78%), or the same or lower fixed dose over 3 or 4 hours (n=8, 22%) for four consecutive days, followed by 40 mg/m</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PLD on Day 4. The most frequently reported APR-246-related AEs were nausea, vomiting and dizziness. Limited APR-246-related grade 3+ AEs were reported, of which only anemia (n=3, 8%) was observed in more than one patient. Serious adverse events, regardless of causality, reported in more than one patient were: Intestinal obstruction (n=3, 8%) and infection (n=2, 6%). We believe the available adverse event data from the trial demonstrates that reduced duration infusion regimens with APR-246 are feasible.</w:t>
      </w:r>
    </w:p>
    <w:p>
      <w:pPr>
        <w:spacing w:after="0" w:line="213"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As part of the PiSARRO trials, we are collaborating with the European Network for Translational Research in Ovarian Cancer, or EUTROC, with the aim to identify predictive markers of efficacy, tolerability and clinical pharmacology.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second product candidate, APR-548</w:t>
      </w:r>
    </w:p>
    <w:p>
      <w:pPr>
        <w:spacing w:after="0" w:line="231"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 xml:space="preserve">We are developing a next-generation small molecule mutant p53 reactivator, APR-548, a novel pro-drug of MQ that has the potential to be administered in an oral dosage form. We intend to initially develop APR-548 in </w:t>
      </w:r>
      <w:r>
        <w:rPr>
          <w:rFonts w:ascii="Arial" w:cs="Arial" w:eastAsia="Arial" w:hAnsi="Arial"/>
          <w:sz w:val="16"/>
          <w:szCs w:val="16"/>
          <w:i w:val="1"/>
          <w:iCs w:val="1"/>
          <w:color w:val="auto"/>
        </w:rPr>
        <w:t>TP53</w:t>
      </w:r>
      <w:r>
        <w:rPr>
          <w:rFonts w:ascii="Arial" w:cs="Arial" w:eastAsia="Arial" w:hAnsi="Arial"/>
          <w:sz w:val="16"/>
          <w:szCs w:val="16"/>
          <w:color w:val="auto"/>
        </w:rPr>
        <w:t xml:space="preserve"> mutant hematological malignancies. We believe that an oral p53-reactivating drug will improve patient convenience and compliance, if approved, including for patients receiving prolonged therapy in the maintenance setting.</w:t>
      </w:r>
    </w:p>
    <w:p>
      <w:pPr>
        <w:spacing w:after="0" w:line="161" w:lineRule="exact"/>
        <w:rPr>
          <w:sz w:val="20"/>
          <w:szCs w:val="20"/>
          <w:color w:val="auto"/>
        </w:rPr>
      </w:pPr>
    </w:p>
    <w:p>
      <w:pPr>
        <w:ind w:right="60" w:firstLine="351"/>
        <w:spacing w:after="0" w:line="194" w:lineRule="auto"/>
        <w:rPr>
          <w:sz w:val="20"/>
          <w:szCs w:val="20"/>
          <w:color w:val="auto"/>
        </w:rPr>
      </w:pPr>
      <w:r>
        <w:rPr>
          <w:rFonts w:ascii="Arial" w:cs="Arial" w:eastAsia="Arial" w:hAnsi="Arial"/>
          <w:sz w:val="18"/>
          <w:szCs w:val="18"/>
          <w:color w:val="auto"/>
        </w:rPr>
        <w:t>In preclinical testing we have observed potency with APR-548 that is superior to that of APR-246 in a Saos-2 osteosarcoma cell line expressing an Arg273His mutant p53 and the MIA-PaCa-2 pancreatic cancer cell line harboring an Arg248Trp mutant p53. The half maximal inhibitory concentration, or IC</w:t>
      </w:r>
      <w:r>
        <w:rPr>
          <w:rFonts w:ascii="Arial" w:cs="Arial" w:eastAsia="Arial" w:hAnsi="Arial"/>
          <w:sz w:val="29"/>
          <w:szCs w:val="29"/>
          <w:color w:val="auto"/>
          <w:vertAlign w:val="subscript"/>
        </w:rPr>
        <w:t>50</w:t>
      </w:r>
      <w:r>
        <w:rPr>
          <w:rFonts w:ascii="Arial" w:cs="Arial" w:eastAsia="Arial" w:hAnsi="Arial"/>
          <w:sz w:val="18"/>
          <w:szCs w:val="18"/>
          <w:color w:val="auto"/>
        </w:rPr>
        <w:t>, in the Saos-2 cell line was calculated to be 5.6 mM ± 1.0 mM (n=3) for APR-548 and 9.5 mM ± 1.2 mM (n=37) for APR-246, representing an approximately 40% reduction in IC</w:t>
      </w:r>
      <w:r>
        <w:rPr>
          <w:rFonts w:ascii="Arial" w:cs="Arial" w:eastAsia="Arial" w:hAnsi="Arial"/>
          <w:sz w:val="29"/>
          <w:szCs w:val="29"/>
          <w:color w:val="auto"/>
          <w:vertAlign w:val="subscript"/>
        </w:rPr>
        <w:t>50</w:t>
      </w:r>
      <w:r>
        <w:rPr>
          <w:rFonts w:ascii="Arial" w:cs="Arial" w:eastAsia="Arial" w:hAnsi="Arial"/>
          <w:sz w:val="18"/>
          <w:szCs w:val="18"/>
          <w:color w:val="auto"/>
        </w:rPr>
        <w:t xml:space="preserve"> with APR-548. In the MIA-PaCa-2 cell line, the IC</w:t>
      </w:r>
      <w:r>
        <w:rPr>
          <w:rFonts w:ascii="Arial" w:cs="Arial" w:eastAsia="Arial" w:hAnsi="Arial"/>
          <w:sz w:val="29"/>
          <w:szCs w:val="29"/>
          <w:color w:val="auto"/>
          <w:vertAlign w:val="subscript"/>
        </w:rPr>
        <w:t>50</w:t>
      </w:r>
      <w:r>
        <w:rPr>
          <w:rFonts w:ascii="Arial" w:cs="Arial" w:eastAsia="Arial" w:hAnsi="Arial"/>
          <w:sz w:val="18"/>
          <w:szCs w:val="18"/>
          <w:color w:val="auto"/>
        </w:rPr>
        <w:t xml:space="preserve"> for APR-548 was calculated to be 6.0 mM (n=1) versus 19 mM (n=1) for APR-246, representing a nearly 70% reduction in IC</w:t>
      </w:r>
      <w:r>
        <w:rPr>
          <w:rFonts w:ascii="Arial" w:cs="Arial" w:eastAsia="Arial" w:hAnsi="Arial"/>
          <w:sz w:val="29"/>
          <w:szCs w:val="29"/>
          <w:color w:val="auto"/>
          <w:vertAlign w:val="subscript"/>
        </w:rPr>
        <w:t>50</w:t>
      </w:r>
      <w:r>
        <w:rPr>
          <w:rFonts w:ascii="Arial" w:cs="Arial" w:eastAsia="Arial" w:hAnsi="Arial"/>
          <w:sz w:val="18"/>
          <w:szCs w:val="18"/>
          <w:color w:val="auto"/>
        </w:rPr>
        <w:t xml:space="preserve"> with APR-548.</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 xml:space="preserve">Reduced </w:t>
      </w:r>
      <w:r>
        <w:rPr>
          <w:rFonts w:ascii="Arial" w:cs="Arial" w:eastAsia="Arial" w:hAnsi="Arial"/>
          <w:sz w:val="18"/>
          <w:szCs w:val="18"/>
          <w:b w:val="1"/>
          <w:bCs w:val="1"/>
          <w:i w:val="1"/>
          <w:iCs w:val="1"/>
          <w:color w:val="auto"/>
        </w:rPr>
        <w:t>in vitro</w:t>
      </w:r>
      <w:r>
        <w:rPr>
          <w:rFonts w:ascii="Arial" w:cs="Arial" w:eastAsia="Arial" w:hAnsi="Arial"/>
          <w:sz w:val="18"/>
          <w:szCs w:val="18"/>
          <w:b w:val="1"/>
          <w:bCs w:val="1"/>
          <w:color w:val="auto"/>
        </w:rPr>
        <w:t xml:space="preserve"> IC</w:t>
      </w:r>
      <w:r>
        <w:rPr>
          <w:rFonts w:ascii="Arial" w:cs="Arial" w:eastAsia="Arial" w:hAnsi="Arial"/>
          <w:sz w:val="29"/>
          <w:szCs w:val="29"/>
          <w:b w:val="1"/>
          <w:bCs w:val="1"/>
          <w:color w:val="auto"/>
          <w:vertAlign w:val="subscript"/>
        </w:rPr>
        <w:t>50</w:t>
      </w:r>
      <w:r>
        <w:rPr>
          <w:rFonts w:ascii="Arial" w:cs="Arial" w:eastAsia="Arial" w:hAnsi="Arial"/>
          <w:sz w:val="29"/>
          <w:szCs w:val="29"/>
          <w:b w:val="1"/>
          <w:bCs w:val="1"/>
          <w:color w:val="auto"/>
          <w:vertAlign w:val="superscript"/>
        </w:rPr>
        <w:t>(1)</w:t>
      </w:r>
      <w:r>
        <w:rPr>
          <w:rFonts w:ascii="Arial" w:cs="Arial" w:eastAsia="Arial" w:hAnsi="Arial"/>
          <w:sz w:val="18"/>
          <w:szCs w:val="18"/>
          <w:b w:val="1"/>
          <w:bCs w:val="1"/>
          <w:color w:val="auto"/>
        </w:rPr>
        <w:t xml:space="preserve"> of APR-548 in a p53 mutant saos-2 cell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2827020</wp:posOffset>
            </wp:positionV>
            <wp:extent cx="190373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0" w:hanging="532"/>
        <w:spacing w:after="0"/>
        <w:tabs>
          <w:tab w:leader="none" w:pos="5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Half-maximal inhibitory concentration</w:t>
      </w:r>
    </w:p>
    <w:p>
      <w:pPr>
        <w:spacing w:after="0" w:line="20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xenograft studies in which mice were implanted with a breast adenocarcinoma cell line, MDA-MB-231-</w:t>
      </w:r>
      <w:r>
        <w:rPr>
          <w:rFonts w:ascii="Arial" w:cs="Arial" w:eastAsia="Arial" w:hAnsi="Arial"/>
          <w:sz w:val="16"/>
          <w:szCs w:val="16"/>
          <w:i w:val="1"/>
          <w:iCs w:val="1"/>
          <w:color w:val="auto"/>
        </w:rPr>
        <w:t>luc</w:t>
      </w:r>
      <w:r>
        <w:rPr>
          <w:rFonts w:ascii="Arial" w:cs="Arial" w:eastAsia="Arial" w:hAnsi="Arial"/>
          <w:sz w:val="16"/>
          <w:szCs w:val="16"/>
          <w:color w:val="auto"/>
        </w:rPr>
        <w:t xml:space="preserve">, we tested the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efficacy of APR-548 when administered by twice-daily intraperitoneal (i.p.) injection, or by twice-daily or three times daily oral (PO) gavage. In these studies, mice received APR-548 for three cycles where each cycle consisted of 5 consecutive days of dosing followed by 2 days without dosing. Tumor growth inhibition was measured on day 33 post-inoculation, 3 days after the final dosing in the final cycle. In mice receiving APR-548 via oral administration, we observed reductions in tumor weight relative to untreated control mice. Results from these studies are summarized in the following table.</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26"/>
              <w:spacing w:after="0"/>
              <w:rPr>
                <w:sz w:val="20"/>
                <w:szCs w:val="20"/>
                <w:color w:val="auto"/>
              </w:rPr>
            </w:pPr>
            <w:r>
              <w:rPr>
                <w:rFonts w:ascii="Arial" w:cs="Arial" w:eastAsia="Arial" w:hAnsi="Arial"/>
                <w:sz w:val="14"/>
                <w:szCs w:val="14"/>
                <w:b w:val="1"/>
                <w:bCs w:val="1"/>
                <w:color w:val="auto"/>
                <w:w w:val="93"/>
              </w:rPr>
              <w:t>APR-548/dose</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22"/>
              <w:spacing w:after="0"/>
              <w:rPr>
                <w:sz w:val="20"/>
                <w:szCs w:val="20"/>
                <w:color w:val="auto"/>
              </w:rPr>
            </w:pPr>
            <w:r>
              <w:rPr>
                <w:rFonts w:ascii="Arial" w:cs="Arial" w:eastAsia="Arial" w:hAnsi="Arial"/>
                <w:sz w:val="14"/>
                <w:szCs w:val="14"/>
                <w:b w:val="1"/>
                <w:bCs w:val="1"/>
                <w:color w:val="auto"/>
                <w:w w:val="92"/>
              </w:rPr>
              <w:t>Dosing interval</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ind w:left="20"/>
              <w:spacing w:after="0"/>
              <w:rPr>
                <w:sz w:val="20"/>
                <w:szCs w:val="20"/>
                <w:color w:val="auto"/>
              </w:rPr>
            </w:pPr>
            <w:r>
              <w:rPr>
                <w:rFonts w:ascii="Arial" w:cs="Arial" w:eastAsia="Arial" w:hAnsi="Arial"/>
                <w:sz w:val="14"/>
                <w:szCs w:val="14"/>
                <w:b w:val="1"/>
                <w:bCs w:val="1"/>
                <w:color w:val="auto"/>
                <w:w w:val="91"/>
              </w:rPr>
              <w:t>Tumor growth</w:t>
            </w:r>
          </w:p>
        </w:tc>
      </w:tr>
      <w:tr>
        <w:trPr>
          <w:trHeight w:val="161"/>
        </w:trPr>
        <w:tc>
          <w:tcPr>
            <w:tcW w:w="3200" w:type="dxa"/>
            <w:vAlign w:val="bottom"/>
            <w:gridSpan w:val="3"/>
          </w:tcPr>
          <w:p>
            <w:pPr>
              <w:spacing w:after="0"/>
              <w:rPr>
                <w:sz w:val="20"/>
                <w:szCs w:val="20"/>
                <w:color w:val="auto"/>
              </w:rPr>
            </w:pPr>
            <w:r>
              <w:rPr>
                <w:rFonts w:ascii="Arial" w:cs="Arial" w:eastAsia="Arial" w:hAnsi="Arial"/>
                <w:sz w:val="14"/>
                <w:szCs w:val="14"/>
                <w:b w:val="1"/>
                <w:bCs w:val="1"/>
                <w:color w:val="auto"/>
              </w:rPr>
              <w:t>Xenograft Study</w:t>
            </w:r>
          </w:p>
        </w:tc>
        <w:tc>
          <w:tcPr>
            <w:tcW w:w="160" w:type="dxa"/>
            <w:vAlign w:val="bottom"/>
          </w:tcPr>
          <w:p>
            <w:pPr>
              <w:spacing w:after="0"/>
              <w:rPr>
                <w:sz w:val="14"/>
                <w:szCs w:val="14"/>
                <w:color w:val="auto"/>
              </w:rPr>
            </w:pPr>
          </w:p>
        </w:tc>
        <w:tc>
          <w:tcPr>
            <w:tcW w:w="840" w:type="dxa"/>
            <w:vAlign w:val="bottom"/>
          </w:tcPr>
          <w:p>
            <w:pPr>
              <w:jc w:val="right"/>
              <w:ind w:right="16"/>
              <w:spacing w:after="0"/>
              <w:rPr>
                <w:sz w:val="20"/>
                <w:szCs w:val="20"/>
                <w:color w:val="auto"/>
              </w:rPr>
            </w:pPr>
            <w:r>
              <w:rPr>
                <w:rFonts w:ascii="Arial" w:cs="Arial" w:eastAsia="Arial" w:hAnsi="Arial"/>
                <w:sz w:val="14"/>
                <w:szCs w:val="14"/>
                <w:b w:val="1"/>
                <w:bCs w:val="1"/>
                <w:color w:val="auto"/>
                <w:w w:val="95"/>
              </w:rPr>
              <w:t>No. of mice</w:t>
            </w:r>
          </w:p>
        </w:tc>
        <w:tc>
          <w:tcPr>
            <w:tcW w:w="160" w:type="dxa"/>
            <w:vAlign w:val="bottom"/>
          </w:tcPr>
          <w:p>
            <w:pPr>
              <w:spacing w:after="0"/>
              <w:rPr>
                <w:sz w:val="14"/>
                <w:szCs w:val="14"/>
                <w:color w:val="auto"/>
              </w:rPr>
            </w:pPr>
          </w:p>
        </w:tc>
        <w:tc>
          <w:tcPr>
            <w:tcW w:w="1000" w:type="dxa"/>
            <w:vAlign w:val="bottom"/>
          </w:tcPr>
          <w:p>
            <w:pPr>
              <w:jc w:val="right"/>
              <w:ind w:right="126"/>
              <w:spacing w:after="0"/>
              <w:rPr>
                <w:sz w:val="20"/>
                <w:szCs w:val="20"/>
                <w:color w:val="auto"/>
              </w:rPr>
            </w:pPr>
            <w:r>
              <w:rPr>
                <w:rFonts w:ascii="Arial" w:cs="Arial" w:eastAsia="Arial" w:hAnsi="Arial"/>
                <w:sz w:val="14"/>
                <w:szCs w:val="14"/>
                <w:b w:val="1"/>
                <w:bCs w:val="1"/>
                <w:color w:val="auto"/>
              </w:rPr>
              <w:t>(mmol/kg)</w:t>
            </w:r>
          </w:p>
        </w:tc>
        <w:tc>
          <w:tcPr>
            <w:tcW w:w="16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4"/>
                <w:szCs w:val="14"/>
                <w:b w:val="1"/>
                <w:bCs w:val="1"/>
                <w:color w:val="auto"/>
                <w:w w:val="91"/>
              </w:rPr>
              <w:t>Doses/day</w:t>
            </w:r>
          </w:p>
        </w:tc>
        <w:tc>
          <w:tcPr>
            <w:tcW w:w="160" w:type="dxa"/>
            <w:vAlign w:val="bottom"/>
          </w:tcPr>
          <w:p>
            <w:pPr>
              <w:spacing w:after="0"/>
              <w:rPr>
                <w:sz w:val="14"/>
                <w:szCs w:val="14"/>
                <w:color w:val="auto"/>
              </w:rPr>
            </w:pPr>
          </w:p>
        </w:tc>
        <w:tc>
          <w:tcPr>
            <w:tcW w:w="1060" w:type="dxa"/>
            <w:vAlign w:val="bottom"/>
          </w:tcPr>
          <w:p>
            <w:pPr>
              <w:jc w:val="right"/>
              <w:ind w:right="242"/>
              <w:spacing w:after="0"/>
              <w:rPr>
                <w:sz w:val="20"/>
                <w:szCs w:val="20"/>
                <w:color w:val="auto"/>
              </w:rPr>
            </w:pPr>
            <w:r>
              <w:rPr>
                <w:rFonts w:ascii="Arial" w:cs="Arial" w:eastAsia="Arial" w:hAnsi="Arial"/>
                <w:sz w:val="14"/>
                <w:szCs w:val="14"/>
                <w:b w:val="1"/>
                <w:bCs w:val="1"/>
                <w:color w:val="auto"/>
              </w:rPr>
              <w:t>(hours)</w:t>
            </w:r>
          </w:p>
        </w:tc>
        <w:tc>
          <w:tcPr>
            <w:tcW w:w="16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0"/>
              </w:rPr>
              <w:t>Route</w:t>
            </w:r>
          </w:p>
        </w:tc>
        <w:tc>
          <w:tcPr>
            <w:tcW w:w="160" w:type="dxa"/>
            <w:vAlign w:val="bottom"/>
          </w:tcPr>
          <w:p>
            <w:pPr>
              <w:spacing w:after="0"/>
              <w:rPr>
                <w:sz w:val="14"/>
                <w:szCs w:val="14"/>
                <w:color w:val="auto"/>
              </w:rPr>
            </w:pPr>
          </w:p>
        </w:tc>
        <w:tc>
          <w:tcPr>
            <w:tcW w:w="900" w:type="dxa"/>
            <w:vAlign w:val="bottom"/>
          </w:tcPr>
          <w:p>
            <w:pPr>
              <w:ind w:left="20"/>
              <w:spacing w:after="0"/>
              <w:rPr>
                <w:sz w:val="20"/>
                <w:szCs w:val="20"/>
                <w:color w:val="auto"/>
              </w:rPr>
            </w:pPr>
            <w:r>
              <w:rPr>
                <w:rFonts w:ascii="Arial" w:cs="Arial" w:eastAsia="Arial" w:hAnsi="Arial"/>
                <w:sz w:val="14"/>
                <w:szCs w:val="14"/>
                <w:b w:val="1"/>
                <w:bCs w:val="1"/>
                <w:color w:val="auto"/>
                <w:w w:val="96"/>
              </w:rPr>
              <w:t>inhibition (%)</w:t>
            </w:r>
          </w:p>
        </w:tc>
      </w:tr>
      <w:tr>
        <w:trPr>
          <w:trHeight w:val="210"/>
        </w:trPr>
        <w:tc>
          <w:tcPr>
            <w:tcW w:w="20" w:type="dxa"/>
            <w:vAlign w:val="bottom"/>
          </w:tcPr>
          <w:p>
            <w:pPr>
              <w:spacing w:after="0"/>
              <w:rPr>
                <w:sz w:val="18"/>
                <w:szCs w:val="18"/>
                <w:color w:val="auto"/>
              </w:rPr>
            </w:pPr>
          </w:p>
        </w:tc>
        <w:tc>
          <w:tcPr>
            <w:tcW w:w="940" w:type="dxa"/>
            <w:vAlign w:val="bottom"/>
            <w:tcBorders>
              <w:top w:val="single" w:sz="8" w:color="auto"/>
            </w:tcBorders>
            <w:shd w:val="clear" w:color="auto" w:fill="CCEEFF"/>
          </w:tcPr>
          <w:p>
            <w:pPr>
              <w:jc w:val="right"/>
              <w:ind w:right="698"/>
              <w:spacing w:after="0"/>
              <w:rPr>
                <w:sz w:val="20"/>
                <w:szCs w:val="20"/>
                <w:color w:val="auto"/>
              </w:rPr>
            </w:pPr>
            <w:r>
              <w:rPr>
                <w:rFonts w:ascii="Arial" w:cs="Arial" w:eastAsia="Arial" w:hAnsi="Arial"/>
                <w:sz w:val="16"/>
                <w:szCs w:val="16"/>
                <w:b w:val="1"/>
                <w:bCs w:val="1"/>
                <w:color w:val="auto"/>
                <w:w w:val="78"/>
              </w:rPr>
              <w:t>#1</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i.p.</w:t>
            </w:r>
          </w:p>
        </w:tc>
        <w:tc>
          <w:tcPr>
            <w:tcW w:w="1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20 ± 2</w:t>
            </w: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i.p.</w:t>
            </w:r>
          </w:p>
        </w:tc>
        <w:tc>
          <w:tcPr>
            <w:tcW w:w="106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8"/>
              </w:rPr>
              <w:t>26 ± 2</w:t>
            </w:r>
          </w:p>
        </w:tc>
      </w:tr>
      <w:tr>
        <w:trPr>
          <w:trHeight w:val="424"/>
        </w:trPr>
        <w:tc>
          <w:tcPr>
            <w:tcW w:w="960" w:type="dxa"/>
            <w:vAlign w:val="bottom"/>
            <w:gridSpan w:val="2"/>
          </w:tcPr>
          <w:p>
            <w:pPr>
              <w:jc w:val="right"/>
              <w:ind w:right="698"/>
              <w:spacing w:after="0"/>
              <w:rPr>
                <w:sz w:val="20"/>
                <w:szCs w:val="20"/>
                <w:color w:val="auto"/>
              </w:rPr>
            </w:pPr>
            <w:r>
              <w:rPr>
                <w:rFonts w:ascii="Arial" w:cs="Arial" w:eastAsia="Arial" w:hAnsi="Arial"/>
                <w:sz w:val="18"/>
                <w:szCs w:val="18"/>
                <w:b w:val="1"/>
                <w:bCs w:val="1"/>
                <w:color w:val="auto"/>
                <w:w w:val="79"/>
              </w:rPr>
              <w:t>#2</w:t>
            </w:r>
          </w:p>
        </w:tc>
        <w:tc>
          <w:tcPr>
            <w:tcW w:w="224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0.25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1"/>
              </w:rPr>
              <w:t>i.p.</w:t>
            </w:r>
          </w:p>
        </w:tc>
        <w:tc>
          <w:tcPr>
            <w:tcW w:w="10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15 ± 2</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0.50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4"/>
              </w:rPr>
              <w:t>PO</w:t>
            </w:r>
          </w:p>
        </w:tc>
        <w:tc>
          <w:tcPr>
            <w:tcW w:w="10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24 ± 2</w:t>
            </w:r>
          </w:p>
        </w:tc>
      </w:tr>
      <w:tr>
        <w:trPr>
          <w:trHeight w:val="223"/>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0.75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4"/>
              </w:rPr>
              <w:t>PO</w:t>
            </w:r>
          </w:p>
        </w:tc>
        <w:tc>
          <w:tcPr>
            <w:tcW w:w="10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36 ± 5</w:t>
            </w:r>
          </w:p>
        </w:tc>
      </w:tr>
      <w:tr>
        <w:trPr>
          <w:trHeight w:val="431"/>
        </w:trPr>
        <w:tc>
          <w:tcPr>
            <w:tcW w:w="20" w:type="dxa"/>
            <w:vAlign w:val="bottom"/>
          </w:tcPr>
          <w:p>
            <w:pPr>
              <w:spacing w:after="0"/>
              <w:rPr>
                <w:sz w:val="24"/>
                <w:szCs w:val="24"/>
                <w:color w:val="auto"/>
              </w:rPr>
            </w:pPr>
          </w:p>
        </w:tc>
        <w:tc>
          <w:tcPr>
            <w:tcW w:w="940" w:type="dxa"/>
            <w:vAlign w:val="bottom"/>
            <w:shd w:val="clear" w:color="auto" w:fill="CCEEFF"/>
          </w:tcPr>
          <w:p>
            <w:pPr>
              <w:jc w:val="right"/>
              <w:ind w:right="698"/>
              <w:spacing w:after="0"/>
              <w:rPr>
                <w:sz w:val="20"/>
                <w:szCs w:val="20"/>
                <w:color w:val="auto"/>
              </w:rPr>
            </w:pPr>
            <w:r>
              <w:rPr>
                <w:rFonts w:ascii="Arial" w:cs="Arial" w:eastAsia="Arial" w:hAnsi="Arial"/>
                <w:sz w:val="16"/>
                <w:szCs w:val="16"/>
                <w:b w:val="1"/>
                <w:bCs w:val="1"/>
                <w:color w:val="auto"/>
                <w:w w:val="78"/>
              </w:rPr>
              <w:t>#3</w:t>
            </w:r>
          </w:p>
        </w:tc>
        <w:tc>
          <w:tcPr>
            <w:tcW w:w="22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4"/>
                <w:szCs w:val="24"/>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i.p.</w:t>
            </w:r>
          </w:p>
        </w:tc>
        <w:tc>
          <w:tcPr>
            <w:tcW w:w="106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8"/>
              </w:rPr>
              <w:t>28 ± 6</w:t>
            </w:r>
          </w:p>
        </w:tc>
      </w:tr>
      <w:tr>
        <w:trPr>
          <w:trHeight w:val="218"/>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PO</w:t>
            </w:r>
          </w:p>
        </w:tc>
        <w:tc>
          <w:tcPr>
            <w:tcW w:w="106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8"/>
              </w:rPr>
              <w:t>46 ± 8</w:t>
            </w: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PO</w:t>
            </w:r>
          </w:p>
        </w:tc>
        <w:tc>
          <w:tcPr>
            <w:tcW w:w="106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8"/>
              </w:rPr>
              <w:t>40 ± 8</w:t>
            </w: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PO</w:t>
            </w:r>
          </w:p>
        </w:tc>
        <w:tc>
          <w:tcPr>
            <w:tcW w:w="106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8"/>
              </w:rPr>
              <w:t>28 ± 5</w:t>
            </w:r>
          </w:p>
        </w:tc>
      </w:tr>
      <w:tr>
        <w:trPr>
          <w:trHeight w:val="424"/>
        </w:trPr>
        <w:tc>
          <w:tcPr>
            <w:tcW w:w="960" w:type="dxa"/>
            <w:vAlign w:val="bottom"/>
            <w:gridSpan w:val="2"/>
          </w:tcPr>
          <w:p>
            <w:pPr>
              <w:jc w:val="right"/>
              <w:ind w:right="698"/>
              <w:spacing w:after="0"/>
              <w:rPr>
                <w:sz w:val="20"/>
                <w:szCs w:val="20"/>
                <w:color w:val="auto"/>
              </w:rPr>
            </w:pPr>
            <w:r>
              <w:rPr>
                <w:rFonts w:ascii="Arial" w:cs="Arial" w:eastAsia="Arial" w:hAnsi="Arial"/>
                <w:sz w:val="18"/>
                <w:szCs w:val="18"/>
                <w:b w:val="1"/>
                <w:bCs w:val="1"/>
                <w:color w:val="auto"/>
                <w:w w:val="79"/>
              </w:rPr>
              <w:t>#4</w:t>
            </w:r>
          </w:p>
        </w:tc>
        <w:tc>
          <w:tcPr>
            <w:tcW w:w="224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0.19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4"/>
              </w:rPr>
              <w:t>PO</w:t>
            </w:r>
          </w:p>
        </w:tc>
        <w:tc>
          <w:tcPr>
            <w:tcW w:w="106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3 ± 0.4</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0.38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4"/>
              </w:rPr>
              <w:t>PO</w:t>
            </w:r>
          </w:p>
        </w:tc>
        <w:tc>
          <w:tcPr>
            <w:tcW w:w="10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19 ± 3</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0.75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4"/>
              </w:rPr>
              <w:t>PO</w:t>
            </w:r>
          </w:p>
        </w:tc>
        <w:tc>
          <w:tcPr>
            <w:tcW w:w="10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40 ± 6</w:t>
            </w: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4"/>
              </w:rPr>
              <w:t>PO</w:t>
            </w:r>
          </w:p>
        </w:tc>
        <w:tc>
          <w:tcPr>
            <w:tcW w:w="10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32 ± 4</w:t>
            </w:r>
          </w:p>
        </w:tc>
      </w:tr>
    </w:tbl>
    <w:p>
      <w:pPr>
        <w:spacing w:after="0" w:line="210"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 xml:space="preserve">In xenograft study #3 we assessed APR-548 pharmacokinetics and confirmed that circulating blood concentrations of APR-548 exceeded levels expected to be efficacious, as determined from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results. Results from this xenograft study are summarized graphically in the following figure.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 w:right="279" w:bottom="1440" w:gutter="0" w:footer="0" w:header="0"/>
        </w:sectPr>
      </w:pPr>
    </w:p>
    <w:bookmarkStart w:id="125" w:name="page126"/>
    <w:bookmarkEnd w:id="1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560185" cy="2821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560185" cy="282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40" w:hanging="532"/>
        <w:spacing w:after="0"/>
        <w:tabs>
          <w:tab w:leader="none" w:pos="5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Twice daily</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Three times daily</w:t>
      </w:r>
    </w:p>
    <w:p>
      <w:pPr>
        <w:spacing w:after="0" w:line="206"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in mouse and dog, we observed high oral bioavailability of APR-548 when dosed as either an aqueous solution or as a solid in capsules. Observed oral bioavailability ranged from 75% to greater than 99%, and with no significant effect of feeding on absorption. Results from these studies are summarized in the following table.</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b w:val="1"/>
                <w:bCs w:val="1"/>
                <w:color w:val="auto"/>
                <w:w w:val="93"/>
              </w:rPr>
              <w:t>APR-548 dose</w:t>
            </w: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620" w:type="dxa"/>
            <w:vAlign w:val="bottom"/>
            <w:gridSpan w:val="3"/>
          </w:tcPr>
          <w:p>
            <w:pPr>
              <w:spacing w:after="0"/>
              <w:rPr>
                <w:sz w:val="20"/>
                <w:szCs w:val="20"/>
                <w:color w:val="auto"/>
              </w:rPr>
            </w:pPr>
            <w:r>
              <w:rPr>
                <w:rFonts w:ascii="Arial" w:cs="Arial" w:eastAsia="Arial" w:hAnsi="Arial"/>
                <w:sz w:val="14"/>
                <w:szCs w:val="14"/>
                <w:b w:val="1"/>
                <w:bCs w:val="1"/>
                <w:color w:val="auto"/>
              </w:rPr>
              <w:t>Species</w:t>
            </w:r>
          </w:p>
        </w:tc>
        <w:tc>
          <w:tcPr>
            <w:tcW w:w="1020" w:type="dxa"/>
            <w:vAlign w:val="bottom"/>
          </w:tcPr>
          <w:p>
            <w:pPr>
              <w:jc w:val="right"/>
              <w:ind w:right="15"/>
              <w:spacing w:after="0"/>
              <w:rPr>
                <w:sz w:val="20"/>
                <w:szCs w:val="20"/>
                <w:color w:val="auto"/>
              </w:rPr>
            </w:pPr>
            <w:r>
              <w:rPr>
                <w:rFonts w:ascii="Arial" w:cs="Arial" w:eastAsia="Arial" w:hAnsi="Arial"/>
                <w:sz w:val="14"/>
                <w:szCs w:val="14"/>
                <w:b w:val="1"/>
                <w:bCs w:val="1"/>
                <w:color w:val="auto"/>
                <w:w w:val="94"/>
              </w:rPr>
              <w:t>No. of animals</w:t>
            </w:r>
          </w:p>
        </w:tc>
        <w:tc>
          <w:tcPr>
            <w:tcW w:w="180" w:type="dxa"/>
            <w:vAlign w:val="bottom"/>
          </w:tcPr>
          <w:p>
            <w:pPr>
              <w:spacing w:after="0"/>
              <w:rPr>
                <w:sz w:val="14"/>
                <w:szCs w:val="14"/>
                <w:color w:val="auto"/>
              </w:rPr>
            </w:pPr>
          </w:p>
        </w:tc>
        <w:tc>
          <w:tcPr>
            <w:tcW w:w="1000" w:type="dxa"/>
            <w:vAlign w:val="bottom"/>
          </w:tcPr>
          <w:p>
            <w:pPr>
              <w:jc w:val="right"/>
              <w:ind w:right="212"/>
              <w:spacing w:after="0"/>
              <w:rPr>
                <w:sz w:val="20"/>
                <w:szCs w:val="20"/>
                <w:color w:val="auto"/>
              </w:rPr>
            </w:pPr>
            <w:r>
              <w:rPr>
                <w:rFonts w:ascii="Arial" w:cs="Arial" w:eastAsia="Arial" w:hAnsi="Arial"/>
                <w:sz w:val="14"/>
                <w:szCs w:val="14"/>
                <w:b w:val="1"/>
                <w:bCs w:val="1"/>
                <w:color w:val="auto"/>
              </w:rPr>
              <w:t>(mg/kg)</w:t>
            </w:r>
          </w:p>
        </w:tc>
        <w:tc>
          <w:tcPr>
            <w:tcW w:w="16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5"/>
              </w:rPr>
              <w:t>Route</w:t>
            </w:r>
          </w:p>
        </w:tc>
        <w:tc>
          <w:tcPr>
            <w:tcW w:w="16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Bioavailability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Mouse (C57Bl/6N)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PO (solution)</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Mouse (CD-1)</w:t>
            </w: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PO (solid in capsule)</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Mouse (CD-1)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PO (solution)</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Dog, fed</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PO (solid in capsule)</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Dog, fasted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PO (solid in capsule)</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Dog, fed</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PO (solution)</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Dog, fasted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PO (solution)</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firstLine="351"/>
        <w:spacing w:after="0" w:line="246" w:lineRule="auto"/>
        <w:rPr>
          <w:sz w:val="20"/>
          <w:szCs w:val="20"/>
          <w:color w:val="auto"/>
        </w:rPr>
      </w:pPr>
      <w:r>
        <w:rPr>
          <w:rFonts w:ascii="Arial" w:cs="Arial" w:eastAsia="Arial" w:hAnsi="Arial"/>
          <w:sz w:val="17"/>
          <w:szCs w:val="17"/>
          <w:color w:val="auto"/>
        </w:rPr>
        <w:t xml:space="preserve">Based on results obtained through our preclinical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studies, we have initiated a series of studies required for IND submission. In our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studies, APR-548 has not demonstrated inhibition or induction or metabolic enzymes at concentrations up to 300 mM. Studies testing APR-548 as an inhibitor or substrate of protein transporters have shown weak inhibition, with IC</w:t>
      </w:r>
      <w:r>
        <w:rPr>
          <w:rFonts w:ascii="Arial" w:cs="Arial" w:eastAsia="Arial" w:hAnsi="Arial"/>
          <w:sz w:val="28"/>
          <w:szCs w:val="28"/>
          <w:color w:val="auto"/>
          <w:vertAlign w:val="subscript"/>
        </w:rPr>
        <w:t>50</w:t>
      </w:r>
      <w:r>
        <w:rPr>
          <w:rFonts w:ascii="Arial" w:cs="Arial" w:eastAsia="Arial" w:hAnsi="Arial"/>
          <w:sz w:val="17"/>
          <w:szCs w:val="17"/>
          <w:color w:val="auto"/>
        </w:rPr>
        <w:t xml:space="preserve"> &gt; 150 mM, is limited to the OCT2 transporter. Additional studies have shown no significant effects when tested at 10 mM in a screen of 87 different receptors, transporters and enzymes, and no effect on the human </w:t>
      </w:r>
      <w:r>
        <w:rPr>
          <w:rFonts w:ascii="Arial" w:cs="Arial" w:eastAsia="Arial" w:hAnsi="Arial"/>
          <w:sz w:val="17"/>
          <w:szCs w:val="17"/>
          <w:i w:val="1"/>
          <w:iCs w:val="1"/>
          <w:color w:val="auto"/>
        </w:rPr>
        <w:t>ether-a-go-go</w:t>
      </w:r>
      <w:r>
        <w:rPr>
          <w:rFonts w:ascii="Arial" w:cs="Arial" w:eastAsia="Arial" w:hAnsi="Arial"/>
          <w:sz w:val="17"/>
          <w:szCs w:val="17"/>
          <w:color w:val="auto"/>
        </w:rPr>
        <w:t xml:space="preserve"> channel, or hERG, in a manual patch clamp assay at concentrations up to 100 mM. Metabolic studies have shown that APR-548 is metabolized slowly and all metabolites produced in human cells are also produced in our mouse and dog toxicology species. Pivotal repeat-dose GLP toxicology studies in both mouse and dog toxicology species have been initiated.</w:t>
      </w:r>
    </w:p>
    <w:p>
      <w:pPr>
        <w:spacing w:after="0" w:line="210" w:lineRule="exact"/>
        <w:rPr>
          <w:sz w:val="20"/>
          <w:szCs w:val="20"/>
          <w:color w:val="auto"/>
        </w:rPr>
      </w:pPr>
    </w:p>
    <w:p>
      <w:pPr>
        <w:ind w:right="440" w:firstLine="348"/>
        <w:spacing w:after="0" w:line="332" w:lineRule="auto"/>
        <w:rPr>
          <w:sz w:val="20"/>
          <w:szCs w:val="20"/>
          <w:color w:val="auto"/>
        </w:rPr>
      </w:pPr>
      <w:r>
        <w:rPr>
          <w:rFonts w:ascii="Arial" w:cs="Arial" w:eastAsia="Arial" w:hAnsi="Arial"/>
          <w:sz w:val="16"/>
          <w:szCs w:val="16"/>
          <w:color w:val="auto"/>
        </w:rPr>
        <w:t>We have developed a scalable, high-purity process for the manufacture of APR-548 and have completed physical characterization studies to survey the landscape of APR-548 polymorphs with properties favorable for the development of an oral formulation to be used in clinical trials.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currently contract with third parties for the manufacture of our product candidates for certain preclinical trials and clinical trial materials, including raw materials and consumables necessary for their manufacture, consistent with applicable cGMP requirements. We intend to continue to contract for these materials in the future, including commercial manufacture if our product candidates receive marketing approval. We do not own or operate cGMP manufacturing facilities, nor do we currently plan to build our own cGMP manufacturing capabilities for the production of our product candidates for clinical or commercial use. Although we rely upon contract manufacturers for the manufacture of our product candidates for IND-enabling trials and clinical trials, we have personnel with extensive manufacturing experience who oversee our contract manufacturers. In the future, we may also rely upon collaboration partners, in addition to contract manufacturers, for the manufacture of our product candidates or any products for which we obtain marketing approval.</w:t>
      </w:r>
    </w:p>
    <w:p>
      <w:pPr>
        <w:spacing w:after="0" w:line="172"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The active pharmaceutical ingredient, or API, for APR-246 is currently manufactured by a single contract manufacturer. Although we may do so in the future, we do not currently have arrangements in place for redundant supply of the API for APR-246. We contract with a different manufacturer for formulation of drug product, sterile fill of vials, labeling and packaging, and the storage and distribution of APR-246 to clinical sites. We believe that these third parties have sufficient capacity to meet our current demand and, in the event they fail to meet our demand, we believe that adequate alternative sources for the supply of materials for APR-246 exist. We intend to identify and qualify additional manufacturers to provide the API and other services for APR-246 prior to seeking marketing approval for APR-246.</w:t>
      </w:r>
    </w:p>
    <w:p>
      <w:pPr>
        <w:spacing w:after="0" w:line="198"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believe that, because APR-246 is a small molecule, it can be manufactured through reliable and reproducible synthetic processes from readily available raw materials and then purified and packaged for clinical use. We believe that the chemistry process is amenable to scale-up and requires only customary equipment in the manufacturing process.</w:t>
      </w:r>
    </w:p>
    <w:p>
      <w:pPr>
        <w:spacing w:after="0" w:line="194" w:lineRule="exact"/>
        <w:rPr>
          <w:sz w:val="20"/>
          <w:szCs w:val="20"/>
          <w:color w:val="auto"/>
        </w:rPr>
      </w:pPr>
    </w:p>
    <w:p>
      <w:pPr>
        <w:jc w:val="both"/>
        <w:ind w:right="240" w:firstLine="348"/>
        <w:spacing w:after="0" w:line="306" w:lineRule="auto"/>
        <w:rPr>
          <w:sz w:val="20"/>
          <w:szCs w:val="20"/>
          <w:color w:val="auto"/>
        </w:rPr>
      </w:pPr>
      <w:r>
        <w:rPr>
          <w:rFonts w:ascii="Arial" w:cs="Arial" w:eastAsia="Arial" w:hAnsi="Arial"/>
          <w:sz w:val="16"/>
          <w:szCs w:val="16"/>
          <w:color w:val="auto"/>
        </w:rPr>
        <w:t>We have a service agreement and quality agreement with Syngene International Private Limited for the manufacture of API. We have a service agreement with Cobra Biopharma for the clinical manufacture, labeling and packaging of formulated drug product. We have a manufacturing and supply agreement with Siegfried Hameln GmbH for the commercial manufacture, supply, labeling and packaging of formulated drug product.</w:t>
      </w:r>
    </w:p>
    <w:p>
      <w:pPr>
        <w:spacing w:after="0" w:line="161"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Manufacturing clinical products is subject to extensive regulations that impose various procedural and documentation requirements, which govern record keeping, manufacturing processes and controls, personnel, quality control and quality assurance. Our contract manufacturers are required to comply with current good manufacturing practice regulations, which are regulatory requirements for the production of pharmaceuticals that will be used in humans.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240" w:firstLine="348"/>
        <w:spacing w:after="0" w:line="291" w:lineRule="auto"/>
        <w:rPr>
          <w:sz w:val="20"/>
          <w:szCs w:val="20"/>
          <w:color w:val="auto"/>
        </w:rPr>
      </w:pPr>
      <w:r>
        <w:rPr>
          <w:rFonts w:ascii="Arial" w:cs="Arial" w:eastAsia="Arial" w:hAnsi="Arial"/>
          <w:sz w:val="16"/>
          <w:szCs w:val="16"/>
          <w:color w:val="auto"/>
        </w:rPr>
        <w:t>The pharmaceutical and biotechnology industries generally, and the cancer drug sector specifically, are highly competitive and characterized by rapidly advancing technologies, evolving understanding of disease etiology and a strong emphasis on proprietary drugs. While we believe that our product candidates, development capabilities, experience and scientific knowledge provide us with competitive advantages, we face significant potential competition from many different sources, including major pharmaceutical, specialty pharmaceutical and biotechnology companies, academic institutions, governmental agencies and public and private research institutions. Any product candidates that we successfully develop and commercialize will compete with existing therapies and new therapies that may become available in the future.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7" w:name="page128"/>
    <w:bookmarkEnd w:id="127"/>
    <w:p>
      <w:pPr>
        <w:ind w:firstLine="348"/>
        <w:spacing w:after="0" w:line="291" w:lineRule="auto"/>
        <w:rPr>
          <w:sz w:val="20"/>
          <w:szCs w:val="20"/>
          <w:color w:val="auto"/>
        </w:rPr>
      </w:pPr>
      <w:r>
        <w:rPr>
          <w:rFonts w:ascii="Arial" w:cs="Arial" w:eastAsia="Arial" w:hAnsi="Arial"/>
          <w:sz w:val="16"/>
          <w:szCs w:val="16"/>
          <w:color w:val="auto"/>
        </w:rPr>
        <w:t>There are a large number of companies developing or marketing treatments for cancer, including the indications for which we may develop product candidates. Many of the companies that we compete against or may compete against in the future have significantly greater financial resources and expertise in research and development, manufacturing, preclinical testing, conducting clinical trials, obtaining regulatory approvals and marketing approved drugs than we do. Small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that may be necessary for, our programs.</w:t>
      </w:r>
    </w:p>
    <w:p>
      <w:pPr>
        <w:spacing w:after="0" w:line="17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drugs that are safer, more effective, have fewer or less severe side effects, are more convenient or are less expensive than any drugs that we may develop. Our competitors also may obtain FDA or other regulatory approval for their drugs more rapidly than we may obtain approval for ours, which could result in our competitors establishing a strong market position before we are able to enter the market. The key competitive factors affecting the success of all of our product candidates, if approved, are likely to be their efficacy, safety, convenience and price, in guiding the use of related therapeutics, the level of generic competition and the availability of reimbursement from government and other third-party payors.</w:t>
      </w:r>
    </w:p>
    <w:p>
      <w:pPr>
        <w:spacing w:after="0" w:line="198"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most common methods of treating patients with cancer are surgery, radiation and therapy with drugs or biologics. There are a variety of available drug therapies marketed for cancer. In many cases, these drugs are administered in combination to enhance efficacy. Some of the currently-approved drug therapies are branded and subject to patent protection and may be established as standard of care for the treatment of indications for which we may choose to seek regulatory approvals. Many of these approved drugs are well-established therapies and are widely accepted by physicians, patients and third-party payors, and even if our drug candidates were to be approved, there can be no assurance that our drugs would displace existing treatments.</w:t>
      </w:r>
    </w:p>
    <w:p>
      <w:pPr>
        <w:spacing w:after="0" w:line="170"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In addition to currently marketed therapies, there are also a number of drugs in late-stage clinical development to treat cancer, including for the treatment of the indications for which we are developing product candidates. These clinical-stage drug candidates may provide efficacy, safety, convenience and other benefits that are not provided by currently-marketed therapies. As a result, they may provide significant competition for any of our product candidates for which we obtain regulatory approval.</w:t>
      </w:r>
    </w:p>
    <w:p>
      <w:pPr>
        <w:spacing w:after="0" w:line="197"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We are developing our lead product candidate, APR-246, to reactivate p53 for the treatment of various cancers. We are aware of other product candidates that are in clinical development as potential treatments of various cancers through the reactivation of p53. Although there is a subset of drugs that directly target the p53 pathway, there are many cancer drugs that claim to affect the p53 pathway by upstream or complementary pathways. We are aware of molecules in development that also are being explored for p53 upregulation / activation in various stages of clinical development being tested by CDG Therapeutics, Inc., Innovation Pharmaceuticals, Inc., MedVax Technologies, Inc., PMV Pharmaceuticals, Inc., and Senhwa Biosciences, Inc., among others. We are also aware of selective small molecule inhibitors that are designed to target the p53-MDM2 interaction in various stages of clinical development being tested by F-Hoffman La Roche Ltd and Hoffman La Roche Inc., or collectively Roche, Amgen Inc., Novartis AG, Aileron Therapeutics and Daiichi Sankyo Co., Ltd., including testing MDM2 inhibitors in combination with a variety of other anti-cancer agents. Finally, we are aware of several small molecules that are designed to inhibit the activity of Bcl-2 and the related protein Mcl-1 and relieve inhibition of the apoptotic cascade. Abbvie Inc.'s venetoclax has been approved in AML and chronic lymphocytic leukemia; companies with Bcl-2 or Mcl-1 inhibitors in various stages of preclinical or clinical development include Amgen Inc., Servier SAS, AstraZeneca Plc and Pfizer Inc., among others.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8" w:name="page129"/>
    <w:bookmarkEnd w:id="128"/>
    <w:p>
      <w:pPr>
        <w:ind w:right="320" w:firstLine="351"/>
        <w:spacing w:after="0" w:line="268" w:lineRule="auto"/>
        <w:rPr>
          <w:sz w:val="20"/>
          <w:szCs w:val="20"/>
          <w:color w:val="auto"/>
        </w:rPr>
      </w:pPr>
      <w:r>
        <w:rPr>
          <w:rFonts w:ascii="Arial" w:cs="Arial" w:eastAsia="Arial" w:hAnsi="Arial"/>
          <w:sz w:val="18"/>
          <w:szCs w:val="18"/>
          <w:color w:val="auto"/>
        </w:rPr>
        <w:t>If APR-246 was approved for the indications for which we currently have ongoing clinical trials, it will compete with currently-marketed drugs and will likely compete with other drugs that are currently in clinical development, each as discussed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MDS / AML</w:t>
      </w:r>
    </w:p>
    <w:p>
      <w:pPr>
        <w:spacing w:after="0" w:line="225"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front-line treatments for patients with higher-risk MDS in the United States are combination chemotherapy or HMAs such as Dacogen (decitabine) or Vidaza (azacitidine). We are aware of several ongoing clinical trials aimed at expanding the use of approved chemotherapy and immunomodulatory agents in higher-risk MDS, as well as several new clinical programs testing novel technologies in this area, including product candidates from Abbvie Inc., argenx, Astex Pharmaceuticals, Inc., Celgene Corporation, CTI BioPharma Corp., Cyclacel Pharmaceuticals, Inc., Eisai Co., Ltd., Karyopharm Therapeutics Inc., Onconova Therapeutics, Inc., and Takeda Pharmaceutical Company Limited.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We strive to protect the proprietary technologies that we believe are important to our business, including seeking and maintaining patent protection intended to cover the methods-of-use, formulations, dosing, manufacturing processes, and crystalline solid form of one or more of our product candidates, including APR-246, and composition of matter of our other product candidates, related technology, and other inventions that are important to our business.</w:t>
      </w:r>
    </w:p>
    <w:p>
      <w:pPr>
        <w:spacing w:after="0" w:line="16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success will depend significantly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and enforceable patents and other proprietary rights of third parties.</w:t>
      </w:r>
    </w:p>
    <w:p>
      <w:pPr>
        <w:spacing w:after="0" w:line="194" w:lineRule="exact"/>
        <w:rPr>
          <w:sz w:val="20"/>
          <w:szCs w:val="20"/>
          <w:color w:val="auto"/>
        </w:rPr>
      </w:pPr>
    </w:p>
    <w:p>
      <w:pPr>
        <w:ind w:right="100" w:firstLine="341"/>
        <w:spacing w:after="0" w:line="256" w:lineRule="auto"/>
        <w:rPr>
          <w:sz w:val="20"/>
          <w:szCs w:val="20"/>
          <w:color w:val="auto"/>
        </w:rPr>
      </w:pPr>
      <w:r>
        <w:rPr>
          <w:rFonts w:ascii="Arial" w:cs="Arial" w:eastAsia="Arial" w:hAnsi="Arial"/>
          <w:sz w:val="18"/>
          <w:szCs w:val="18"/>
          <w:color w:val="auto"/>
        </w:rPr>
        <w:t>A third party may hold intellectual property, including patent rights, which are important or necessary to the development or commercialization of our product candidates. If it becomes necessary for us to use patented or proprietary technology of third parties to develop or commercialize our product candidates, we may need to seek a license from such third parties. Our business could be harmed, possibly materially, if we are unable to obtain such a license on terms that are commercially reasonable, or at all.</w:t>
      </w:r>
    </w:p>
    <w:p>
      <w:pPr>
        <w:spacing w:after="0" w:line="197"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We may seek to expand our intellectual property estate by filing patent applications directed to dosage forms, methods of treatment, diagnostics, and additional compounds and their derivatives. Specifically, we have sought and will continue to seek patent protection in the United States and internationally for novel compositions of matter covering the compounds of our product candidates other than APR-246 and a crystal form of APR-246, the chemistries and processes for manufacturing these compounds, and the use of these compounds in a variety of therapies. The chemical structure of APR-246 is in the public domain. Accordingly, we do not own or license any composition of matter patents claiming the compound of APR-246 and will not in the future own or license any composition of matter patents claiming the chemical structure of APR-246 as described in the public domain.</w:t>
      </w:r>
    </w:p>
    <w:p>
      <w:pPr>
        <w:spacing w:after="0" w:line="174"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patent positions of biopharmaceutical companies like us are generally uncertain and involve complex legal, scientific and factual questions. In addition, the coverage claimed in a patent application can be significantly reduced before the patent is issued, and its scope can be reinterpreted after issuance. Consequently, we do not know whether any of our product candidates will be protectable or remain protected by enforceable patents.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w:t>
      </w:r>
    </w:p>
    <w:p>
      <w:pPr>
        <w:spacing w:after="0" w:line="170"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Because patent applications in the United States and certain other jurisdictions are maintained in secrecy for 18 months, and since publication of discoveries in the scientific or patent literature often lags actual discoveries, we cannot be certain of the priority of inventions covered by pending patent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9" w:name="page130"/>
    <w:bookmarkEnd w:id="129"/>
    <w:p>
      <w:pPr>
        <w:ind w:right="20"/>
        <w:spacing w:after="0" w:line="294" w:lineRule="auto"/>
        <w:rPr>
          <w:sz w:val="20"/>
          <w:szCs w:val="20"/>
          <w:color w:val="auto"/>
        </w:rPr>
      </w:pPr>
      <w:r>
        <w:rPr>
          <w:rFonts w:ascii="Arial" w:cs="Arial" w:eastAsia="Arial" w:hAnsi="Arial"/>
          <w:sz w:val="16"/>
          <w:szCs w:val="16"/>
          <w:color w:val="auto"/>
        </w:rPr>
        <w:t>applications. Moreover, we may have to participate in interference proceedings declared by the United States Patent and Trademark Office, or USPTO, to determine priority of invention or in post-grant challenge proceedings at the USPTO or at a foreign patent office, such as inter partes review and post grant review proceedings at the USPTO and opposition proceedings at the European Patent Office, that challenge priority of invention or other features of patentability. Such proceedings could result in substantial cost, even if the eventual outcome is favorable to us. For more information regarding the risks related to our intellectual property, see "Risk Factors—Risks Related to Our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portfolio</w:t>
      </w:r>
    </w:p>
    <w:p>
      <w:pPr>
        <w:spacing w:after="0" w:line="225" w:lineRule="exact"/>
        <w:rPr>
          <w:sz w:val="20"/>
          <w:szCs w:val="20"/>
          <w:color w:val="auto"/>
        </w:rPr>
      </w:pPr>
    </w:p>
    <w:p>
      <w:pPr>
        <w:ind w:right="240" w:firstLine="341"/>
        <w:spacing w:after="0" w:line="255" w:lineRule="auto"/>
        <w:rPr>
          <w:sz w:val="20"/>
          <w:szCs w:val="20"/>
          <w:color w:val="auto"/>
        </w:rPr>
      </w:pPr>
      <w:r>
        <w:rPr>
          <w:rFonts w:ascii="Arial" w:cs="Arial" w:eastAsia="Arial" w:hAnsi="Arial"/>
          <w:sz w:val="18"/>
          <w:szCs w:val="18"/>
          <w:color w:val="auto"/>
        </w:rPr>
        <w:t>As of September 18, 2019, our exclusively owned patent portfolio includes five U.S. issued patents, three pending U.S. provisional patent applications, approximately 113 foreign issued patents and approximately 10 pending foreign patent applications. The claims of these owned patents and patent applications are directed toward various aspects of our product candidates and research programs. Specifically, the claims of these patents and patent applications include compositions of matter for product candidates other than APR-246 and a crystal form of APR-246, methods-of-use, drug product formulations, dosing, diagnostics and methods of manufacture.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APR-246 Method of Use Family</w:t>
      </w:r>
    </w:p>
    <w:p>
      <w:pPr>
        <w:spacing w:after="0" w:line="225"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As of September 18, 2019, we exclusively own a patent family directed to methods-of-uses of APR-246. This patent family includes one U.S. issued patent and approximately 33 patents granted in Europe (validated in Austria, Belgium, Bulgaria, Switzerland-Lichtenstein, Cyprus, Czech Republic, Germany, Denmark, Estonia, Spain, Finland, France, United Kingdom, Greece, Hungary, Ireland, Iceland, Italy, Lithuania, Luxembourg, Monaco, Netherlands, Poland, Portugal, Romania, Sweden, Slovenia, Slovakia and Turkey), Australia, Canada, India, and Japan. The issued patents in this family are expected to expire in 2025, not giving effect to any potential patent term extensions and patent term adjustments and assuming payment of all appropriate maintenance, renewal, annuity, or other governmental fees.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APR-246 Formulation Family</w:t>
      </w:r>
    </w:p>
    <w:p>
      <w:pPr>
        <w:spacing w:after="0" w:line="225"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As of September 18, 2019, we exclusively own a patent family directed to formulations of APR-246. This patent family includes one U.S. issued patent and approximately 40 issued patents in Europe (validated in Austria, Belgium, Switzerland-Lichtenstein, Cyprus, Czech Republic, Germany, Denmark, Estonia, Spain, Finland, France, United Kingdom, Greece, Hungary, Ireland, Italy, Lithuania, Luxembourg, Latvia, Monaco, Malta, Netherlands, Norway, Poland, Portugal, Sweden, Slovakia, San Marino and Turkey), Australia, Canada, China, Israel, Japan, South Korea, Philippines, Russia, Singapore, and South Africa. This patent family also includes approximately 5 pending patent applications in Brazil, China, Hong Kong, India, and Thailand. The granted patents and pending applications, if issued, in this family are expected to expire in 2031, not giving effect to any potential patent term extensions and patent term adjustments and assuming payment of all appropriate maintenance, renewal, annuity, or other governmental fees.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APR-246 Dosing Family</w:t>
      </w:r>
    </w:p>
    <w:p>
      <w:pPr>
        <w:spacing w:after="0" w:line="225"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As of September 18, 2019, we exclusively own a pending U.S. provisional patent application directed to dosing regimens involving APR-246, which was filed in 2019. This provisional patent application is not eligible to become an issued patent until, among other things, we file a non-provisional patent application within 12 months of the filing of our provisional patent application. If we do not timely file any non-provisional patent applications, we may lose our priority date with respect to our provisional patent application and any patent protection on the inventions disclosed in our provisional patent application. Any future U.S. patents that may issue from this provisional patent application (assuming the necessary non-provisional patent applications are timely filed and all other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ind w:right="300"/>
        <w:spacing w:after="0" w:line="268" w:lineRule="auto"/>
        <w:rPr>
          <w:sz w:val="20"/>
          <w:szCs w:val="20"/>
          <w:color w:val="auto"/>
        </w:rPr>
      </w:pPr>
      <w:r>
        <w:rPr>
          <w:rFonts w:ascii="Arial" w:cs="Arial" w:eastAsia="Arial" w:hAnsi="Arial"/>
          <w:sz w:val="18"/>
          <w:szCs w:val="18"/>
          <w:color w:val="auto"/>
        </w:rPr>
        <w:t>applicable requirements are satisfied) are expected to expire in 2040, not giving effect to any potential patent term extensions and patent term adjustments and assuming payment of all appropriate maintenance, renewal, annuity, or other governmental fees.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APR-246 Process and Solid Form Family</w:t>
      </w:r>
    </w:p>
    <w:p>
      <w:pPr>
        <w:spacing w:after="0" w:line="225" w:lineRule="exact"/>
        <w:rPr>
          <w:sz w:val="20"/>
          <w:szCs w:val="20"/>
          <w:color w:val="auto"/>
        </w:rPr>
      </w:pPr>
    </w:p>
    <w:p>
      <w:pPr>
        <w:ind w:right="100" w:firstLine="341"/>
        <w:spacing w:after="0" w:line="253" w:lineRule="auto"/>
        <w:rPr>
          <w:sz w:val="20"/>
          <w:szCs w:val="20"/>
          <w:color w:val="auto"/>
        </w:rPr>
      </w:pPr>
      <w:r>
        <w:rPr>
          <w:rFonts w:ascii="Arial" w:cs="Arial" w:eastAsia="Arial" w:hAnsi="Arial"/>
          <w:sz w:val="18"/>
          <w:szCs w:val="18"/>
          <w:color w:val="auto"/>
        </w:rPr>
        <w:t>As of September 18, 2019, we exclusively own a pending U.S. provisional patent application directed to improved processes for large scale preparation of APR-246 and to a crystalline solid form comprising APR-246, which was filed in 2019. This provisional patent application is not eligible to become an issued patent until, among other things, we file a non-provisional patent application within 12 months of the filing of our provisional patent application. If we do not timely file any non-provisional patent applications, we may lose our priority date with respect to our provisional patent application and any patent protection on the inventions disclosed in our provisional patent application. Any future U.S. patents that may issue from this provisional patent application (assuming the necessary non-provisional patent applications are timely filed and all other applicable requirements are satisfied) are expected to expire in 2040, not giving effect to any potential patent term extensions and patent term adjustments and assuming payment of all appropriate maintenance, renewal, annuity, or other governmental fees.</w:t>
      </w:r>
    </w:p>
    <w:p>
      <w:pPr>
        <w:spacing w:after="0" w:line="19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Combination Therapy Of APR-246 With A Bcl-2 Inhibitor</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of September 18, 2019, we exclusively own a pending U.S. provisional patent application directed to a method of treatment using a combination therapy of APR-246 with a Bcl-2 inhibitor. This provisional patent application is not eligible to become an issued patent until, among other things, we file a non-provisional patent application within 12 months of the filing of our provisional patent application. If we do not timely file any non-provisional patent applications, we may lose our priority date with respect to our provisional patent application and any patent protection on the inventions disclosed in our provisional patent application. Any future U.S. patents that may issue from this provisional patent application (assuming the necessary non-provisional patent applications are timely filed and all other applicable requirements are satisfied) are expected to expire in 2040, not giving effect to any potential patent term extensions and patent term adjustments and assuming payment of all appropriate maintenance, renewal, annuity, or other governmental fees.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Next-Generation Patent Family/APR-548</w:t>
      </w:r>
    </w:p>
    <w:p>
      <w:pPr>
        <w:spacing w:after="0" w:line="225"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As of September 18, 2019, we exclusively own a patent family directed to next-generation p53 reactivators, including APR-548. Four European pending patent applications have been filed in 2018 and one European pending patent application has been filed in 2019. In this patent family, one European patent application is pending with claims directed to compositions of matter and methods-of-use of APR-548. Any future patents that may issue from these patent applications (assuming all applicable requirements are satisfied) are expected to expire in 2039 and 2040, not giving effect to any potential patent term extensions and patent term adjustments and assuming payment of all appropriate maintenance, renewal, annuity, or other governmental fees.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protection</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term of individual patents depends upon the legal term of the patents in the countries in which they are obtained. In most countries in which we file, the patent term is 20 years from the earliest date of filing a non-provisional patent application.</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the United States, the Hatch-Waxman Act permits a patent holder to apply for patent term extension of a patent that covers an FDA-approved drug, which, if granted, can extend the patent term of such patent to compensate for part of the patent term lost during the FDA regulatory review process. This extension can be for up to five years beyond the original expiration date of the patent. The length of the patent term extension is related to the length of time the drug is under regulatory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p>
      <w:pPr>
        <w:ind w:right="180"/>
        <w:spacing w:after="0" w:line="259" w:lineRule="auto"/>
        <w:rPr>
          <w:sz w:val="20"/>
          <w:szCs w:val="20"/>
          <w:color w:val="auto"/>
        </w:rPr>
      </w:pPr>
      <w:r>
        <w:rPr>
          <w:rFonts w:ascii="Arial" w:cs="Arial" w:eastAsia="Arial" w:hAnsi="Arial"/>
          <w:sz w:val="18"/>
          <w:szCs w:val="18"/>
          <w:color w:val="auto"/>
        </w:rPr>
        <w:t>review. Patent term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w:t>
      </w:r>
    </w:p>
    <w:p>
      <w:pPr>
        <w:spacing w:after="0" w:line="194"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Similar provisions are available in Europe and other non-United States jurisdictions to extend the term of a patent that covers an approved drug. In the future, if and when our product candidates receive FDA approval, we expect to apply for patent term extensions on patents covering those product candidates. While we intend to seek patent term extensions to any of our patents in any jurisdiction where such extensions are available, there is no guarantee that the applicable authorities, including the FDA and the USPTO in the United States, will agree with our assessment of whether such extensions should be granted, and even if granted, the length of such extensions.</w:t>
      </w:r>
    </w:p>
    <w:p>
      <w:pPr>
        <w:spacing w:after="0" w:line="19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addition to our reliance on patent protection for our inventions, product candidates and research programs, we also rely on trade secrets and confidentiality agreements to protect our technology, know-how and other aspects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However, such confidentiality agreements and invention assignment agreements can be breached and we may not have adequate remedies for any such breach. For more information regarding the risks related to our intellectual property, see "Risk Factors—Risks Related to Our Intellectual Property."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and product approvals</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EU, extensively regulate, among other things, the research, development, testing, manufacture, quality control, approval, packaging, storage, recordkeeping, labeling, advertising, promotion, distribution, marketing, post-approval monitoring and reporting, and import and export of drug products. The processes for obtaining marketing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drugs in the United States</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In the United States, the FDA approves drug products under the Federal Food, Drug, and Cosmetic Act, or FDCA, and implementing regulations. The failure to comply with applicable requirements under the FDCA and other applicable laws at any time during the product development process, approval process or after approval may subject an applicant and/or sponsor to a variety of administrative or judicial sanctions, including refusal by the FDA to approve pending applications, withdrawal of an approval, imposition of a clinical hold, issuance of warning letters and other types of letters, product recalls, product seizures, total or partial suspension of production or distribution,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ind w:right="140"/>
        <w:spacing w:after="0" w:line="268" w:lineRule="auto"/>
        <w:rPr>
          <w:sz w:val="20"/>
          <w:szCs w:val="20"/>
          <w:color w:val="auto"/>
        </w:rPr>
      </w:pPr>
      <w:r>
        <w:rPr>
          <w:rFonts w:ascii="Arial" w:cs="Arial" w:eastAsia="Arial" w:hAnsi="Arial"/>
          <w:sz w:val="18"/>
          <w:szCs w:val="18"/>
          <w:color w:val="auto"/>
        </w:rPr>
        <w:t>injunctions, fines, refusals of government contracts, restitution, disgorgement of profits, or civil or criminal investigations and penalties brought by the FDA and the Department of Justice or other governmental entities.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applicant seeking approval to market and distribute a new drug product in the United States must typically undertake the following:</w:t>
      </w:r>
    </w:p>
    <w:p>
      <w:pPr>
        <w:spacing w:after="0" w:line="239" w:lineRule="exact"/>
        <w:rPr>
          <w:sz w:val="20"/>
          <w:szCs w:val="20"/>
          <w:color w:val="auto"/>
        </w:rPr>
      </w:pPr>
    </w:p>
    <w:p>
      <w:pPr>
        <w:ind w:left="1080" w:right="10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or GLP, regulations;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submission to the FDA of an IND, which must take effect before human clinical trials begin;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approval by an independent institutional review board, or IRB, representing each clinical site before each clinical trial may be initiated;</w:t>
      </w:r>
    </w:p>
    <w:p>
      <w:pPr>
        <w:spacing w:after="0" w:line="261"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practices, or GCP, to establish the safety and efficacy of the proposed drug product for each proposed indication;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preparation and submission to the FDA of an NDA requesting marketing for one or more proposed indications;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 by an FDA advisory committee, where appropriate or if applicable;</w:t>
      </w:r>
    </w:p>
    <w:p>
      <w:pPr>
        <w:spacing w:after="0" w:line="238"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satisfactory completion of one or more FDA inspections of the manufacturing facility or facilities at which the product, or components thereof, are produced to assess compliance with current Good Manufacturing Practices, or cGMP, requirements and to assure that the facilities, methods and controls are adequate to preserve the product's identity, strength, quality and purity;</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satisfactory completion of FDA audits of clinical trial sites to assure compliance with GCPs and the integrity of the clinical data;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NDA; and</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post-approval studies.</w:t>
      </w:r>
    </w:p>
    <w:p>
      <w:pPr>
        <w:spacing w:after="0" w:line="186"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Satisfaction of FDA pre-market approval requirements typically takes many years and the actual time required may vary substantially based upon the type, complexity, and novelty of the product candidate or disease. A clinical hold may occur at any time during the life of an IND and may affect one or more specific trials or all trials conducted under the IND.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 xml:space="preserve">Before an applicant begins testing a compound with potential therapeutic value in humans, the drug candidate enters the preclinical testing stage. Preclinical studies include laboratory evaluation of product chemistry, toxicity and formulation, as well as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animal studies to assess the potential safety and activity of the drug for initial testing in humans and to establish a rationale for therapeutic use. The conduct of preclinical studies is subject to federal regulations and requirements, including GLP regulations. The results of the preclinical tests, together with manufacturing information, analytical data, any available clinical data or literature and plans for clinical trials, among other things, are submitted to the FDA as part of an IND. Some long-term preclinical testing, such as animal tests of reproductive adverse events and carcinogenicity, may continue after the IND is submitted.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IND and IRB processes</w:t>
      </w:r>
    </w:p>
    <w:p>
      <w:pPr>
        <w:spacing w:after="0" w:line="225"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An IND is an exemption from the FDCA that allows an unapproved drug to be shipped in interstate commerce for use in an investigational clinical trial and a request for FDA authorization to administer an investigational drug to humans. Such authorization must be secured prior to interstate shipment and administration of any new drug that is not the subject of an approved NDA. In support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3" w:name="page134"/>
    <w:bookmarkEnd w:id="133"/>
    <w:p>
      <w:pPr>
        <w:ind w:right="20"/>
        <w:spacing w:after="0" w:line="289" w:lineRule="auto"/>
        <w:rPr>
          <w:sz w:val="20"/>
          <w:szCs w:val="20"/>
          <w:color w:val="auto"/>
        </w:rPr>
      </w:pPr>
      <w:r>
        <w:rPr>
          <w:rFonts w:ascii="Arial" w:cs="Arial" w:eastAsia="Arial" w:hAnsi="Arial"/>
          <w:sz w:val="16"/>
          <w:szCs w:val="16"/>
          <w:color w:val="auto"/>
        </w:rPr>
        <w:t>of a request for an IND, a sponsor must submit a protocol for each clinical trial and any subsequent protocol amendments must be submitted to the FDA as part of the IND. The sponsor may be a company seeking to develop the drug or, as in the case of an investigator-initiated trial, the sponsor may be an investigator who is conducting the trial. In addition, the results of the preclinical tests, together with manufacturing information, analytical data, any available clinical data or literature and plans for clinical trials, among other things, are submitted to the FDA as part of an IND. The FDA requires a 30-day waiting period after the filing of each IND before clinical trials may begin. This waiting period is designed to allow the FDA to review the IND to determine whether human research subjects will be exposed to unreasonable health risks. At any time during this 30-day period, the FDA may raise concerns or questions about the conduct of the trials as outlined in the IND and impose a clinical hold. In this case, the IND sponsor and the FDA must resolve any outstanding concerns before clinical trials can begin. If the FDA has neither commented on nor questioned the IND within this 30-day period, the clinical trial proposed in the IND may begin.</w:t>
      </w:r>
    </w:p>
    <w:p>
      <w:pPr>
        <w:spacing w:after="0" w:line="172"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Following commencement of a clinical trial under an IND, the FDA may also place a clinical hold or partial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p>
    <w:p>
      <w:pPr>
        <w:spacing w:after="0" w:line="172"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 sponsor may choose, but is not required, to conduct a foreign clinical study under an IND. When a foreign clinical study is conducted under an IND, all IND requirements must be met unless waived. When the foreign clinical study is not conducted under an IND, the sponsor must ensure that the study complies with certain FDA regulatory requirements in order to use the study as support for an IND or application for marketing approval. Specifically, FDA has promulgated regulations governing the acceptance of foreign clinical trials not conducted under an IND, establishing that such studies will be accepted as support for an IND or application for marketing approval if the study was conducted in accordance with GCP, including review and approval by an independent ethics committee, or IEC, and use of proper procedures for obtaining informed consent from subjects, and the FDA is able to validate the data from the study through an on-site inspection if FDA deems such inspection necessary. The GCP requirements encompass both ethical and data integrity standards for clinical studies. The FDA's regulations are intended to help ensure the protection of human subjects enrolled in non-IND foreign clinical trials, as well as the quality and integrity of the resulting data. They further help ensure that non-IND foreign studies are conducted in a manner comparable to that required for IND studies. If a marketing application is based solely on foreign clinical data, the FDA requires that the foreign data be applicable to the U.S. population and U.S. medical practice; the studies must have been performed by clinical investigators of recognized competence; and the FDA must be able to validate the data through an on-site inspection or other appropriate means, if the FDA deems such an inspection to be necessary.</w:t>
      </w:r>
    </w:p>
    <w:p>
      <w:pPr>
        <w:spacing w:after="0" w:line="17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addition to the foregoing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ind w:right="120" w:firstLine="341"/>
        <w:spacing w:after="0" w:line="255" w:lineRule="auto"/>
        <w:rPr>
          <w:sz w:val="20"/>
          <w:szCs w:val="20"/>
          <w:color w:val="auto"/>
        </w:rPr>
      </w:pPr>
      <w:r>
        <w:rPr>
          <w:rFonts w:ascii="Arial" w:cs="Arial" w:eastAsia="Arial" w:hAnsi="Arial"/>
          <w:sz w:val="18"/>
          <w:szCs w:val="18"/>
          <w:color w:val="auto"/>
        </w:rPr>
        <w:t>Additionally, some trials are overseen by an independent group of qualified experts organized by the trial sponsor, known as a data safety monitoring board or committee. This group provides authorization for whether or not a trial may move forward at designated check points based on access that only the group maintains to available data from the study. Suspension or termination of development during any phase of clinical trials can occur if it is determined that the participants or patients are being exposed to an unacceptable health risk. Other reasons for suspension or termination may be made by us based on evolving business objectives and/or competitive climate.</w:t>
      </w:r>
    </w:p>
    <w:p>
      <w:pPr>
        <w:spacing w:after="0" w:line="19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Information about certain clinical trials must be submitted within specific timeframes to the National Institutes of Health, or NIH, for public dissemination on its ClinicalTrials.gov website.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clinical trials in support of an NDA</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Clinical trials involve the administration of the investigational product to human subjects under the supervision of qualified investigators in accordance with GCP requirements, which include, among other things, the requirement that all research subjects provide their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Human clinical trials are typically conducted in the following sequential phases, which may overlap or be combined:</w:t>
      </w:r>
    </w:p>
    <w:p>
      <w:pPr>
        <w:spacing w:after="0" w:line="225" w:lineRule="exact"/>
        <w:rPr>
          <w:sz w:val="20"/>
          <w:szCs w:val="20"/>
          <w:color w:val="auto"/>
        </w:rPr>
      </w:pPr>
    </w:p>
    <w:p>
      <w:pPr>
        <w:ind w:left="1120" w:right="140" w:hanging="836"/>
        <w:spacing w:after="0" w:line="253" w:lineRule="auto"/>
        <w:tabs>
          <w:tab w:leader="none" w:pos="1100" w:val="left"/>
        </w:tabs>
        <w:rPr>
          <w:sz w:val="20"/>
          <w:szCs w:val="20"/>
          <w:color w:val="auto"/>
        </w:rPr>
      </w:pPr>
      <w:r>
        <w:rPr>
          <w:rFonts w:ascii="Arial" w:cs="Arial" w:eastAsia="Arial" w:hAnsi="Arial"/>
          <w:sz w:val="18"/>
          <w:szCs w:val="18"/>
          <w:i w:val="1"/>
          <w:iCs w:val="1"/>
          <w:color w:val="auto"/>
        </w:rPr>
        <w:t>Phase 1:</w:t>
      </w:r>
      <w:r>
        <w:rPr>
          <w:sz w:val="20"/>
          <w:szCs w:val="20"/>
          <w:color w:val="auto"/>
        </w:rPr>
        <w:tab/>
      </w:r>
      <w:r>
        <w:rPr>
          <w:rFonts w:ascii="Arial" w:cs="Arial" w:eastAsia="Arial" w:hAnsi="Arial"/>
          <w:sz w:val="18"/>
          <w:szCs w:val="18"/>
          <w:color w:val="auto"/>
        </w:rPr>
        <w:t>The drug is initially introduced into healthy human subjects or, in certain indications such as cancer, patients with the target disease or condition and tested for safety, dosage tolerance, absorption, metabolism, distribution, excretion and, if possible, to gain an early indication of its effectiveness and to determine optimal dosage.</w:t>
      </w:r>
    </w:p>
    <w:p>
      <w:pPr>
        <w:ind w:left="1120" w:right="60" w:hanging="836"/>
        <w:spacing w:after="0" w:line="250" w:lineRule="auto"/>
        <w:tabs>
          <w:tab w:leader="none" w:pos="1100" w:val="left"/>
        </w:tabs>
        <w:rPr>
          <w:sz w:val="20"/>
          <w:szCs w:val="20"/>
          <w:color w:val="auto"/>
        </w:rPr>
      </w:pPr>
      <w:r>
        <w:rPr>
          <w:rFonts w:ascii="Arial" w:cs="Arial" w:eastAsia="Arial" w:hAnsi="Arial"/>
          <w:sz w:val="18"/>
          <w:szCs w:val="18"/>
          <w:i w:val="1"/>
          <w:iCs w:val="1"/>
          <w:color w:val="auto"/>
        </w:rPr>
        <w:t>Phase 2:</w:t>
      </w:r>
      <w:r>
        <w:rPr>
          <w:sz w:val="20"/>
          <w:szCs w:val="20"/>
          <w:color w:val="auto"/>
        </w:rPr>
        <w:tab/>
      </w:r>
      <w:r>
        <w:rPr>
          <w:rFonts w:ascii="Arial" w:cs="Arial" w:eastAsia="Arial" w:hAnsi="Arial"/>
          <w:sz w:val="18"/>
          <w:szCs w:val="18"/>
          <w:color w:val="auto"/>
        </w:rPr>
        <w:t>The drug is administered to a limited patient population to identify possible adverse effects and safety risks, to preliminarily evaluate the efficacy of the product for specific targeted diseases and to determine dosage tolerance and optimal dosage.</w:t>
      </w:r>
    </w:p>
    <w:p>
      <w:pPr>
        <w:spacing w:after="0" w:line="1" w:lineRule="exact"/>
        <w:rPr>
          <w:sz w:val="20"/>
          <w:szCs w:val="20"/>
          <w:color w:val="auto"/>
        </w:rPr>
      </w:pPr>
    </w:p>
    <w:p>
      <w:pPr>
        <w:ind w:left="1120" w:right="240" w:hanging="836"/>
        <w:spacing w:after="0" w:line="250" w:lineRule="auto"/>
        <w:tabs>
          <w:tab w:leader="none" w:pos="1100" w:val="left"/>
        </w:tabs>
        <w:rPr>
          <w:sz w:val="20"/>
          <w:szCs w:val="20"/>
          <w:color w:val="auto"/>
        </w:rPr>
      </w:pPr>
      <w:r>
        <w:rPr>
          <w:rFonts w:ascii="Arial" w:cs="Arial" w:eastAsia="Arial" w:hAnsi="Arial"/>
          <w:sz w:val="18"/>
          <w:szCs w:val="18"/>
          <w:i w:val="1"/>
          <w:iCs w:val="1"/>
          <w:color w:val="auto"/>
        </w:rPr>
        <w:t>Phase 3:</w:t>
      </w:r>
      <w:r>
        <w:rPr>
          <w:sz w:val="20"/>
          <w:szCs w:val="20"/>
          <w:color w:val="auto"/>
        </w:rPr>
        <w:tab/>
      </w:r>
      <w:r>
        <w:rPr>
          <w:rFonts w:ascii="Arial" w:cs="Arial" w:eastAsia="Arial" w:hAnsi="Arial"/>
          <w:sz w:val="18"/>
          <w:szCs w:val="18"/>
          <w:color w:val="auto"/>
        </w:rPr>
        <w:t>The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1" w:lineRule="exact"/>
        <w:rPr>
          <w:sz w:val="20"/>
          <w:szCs w:val="20"/>
          <w:color w:val="auto"/>
        </w:rPr>
      </w:pPr>
    </w:p>
    <w:p>
      <w:pPr>
        <w:ind w:left="1120" w:right="560" w:hanging="836"/>
        <w:spacing w:after="0" w:line="261" w:lineRule="auto"/>
        <w:tabs>
          <w:tab w:leader="none" w:pos="1100" w:val="left"/>
        </w:tabs>
        <w:rPr>
          <w:sz w:val="20"/>
          <w:szCs w:val="20"/>
          <w:color w:val="auto"/>
        </w:rPr>
      </w:pPr>
      <w:r>
        <w:rPr>
          <w:rFonts w:ascii="Arial" w:cs="Arial" w:eastAsia="Arial" w:hAnsi="Arial"/>
          <w:sz w:val="18"/>
          <w:szCs w:val="18"/>
          <w:i w:val="1"/>
          <w:iCs w:val="1"/>
          <w:color w:val="auto"/>
        </w:rPr>
        <w:t>Phase 4:</w:t>
      </w:r>
      <w:r>
        <w:rPr>
          <w:sz w:val="20"/>
          <w:szCs w:val="20"/>
          <w:color w:val="auto"/>
        </w:rPr>
        <w:tab/>
      </w:r>
      <w:r>
        <w:rPr>
          <w:rFonts w:ascii="Arial" w:cs="Arial" w:eastAsia="Arial" w:hAnsi="Arial"/>
          <w:sz w:val="18"/>
          <w:szCs w:val="18"/>
          <w:color w:val="auto"/>
        </w:rPr>
        <w:t>Post-approval studies, which are conducted following initial approval, are typically conducted to gain additional experience and data from treatment of patients in the intended therapeutic indication.</w:t>
      </w:r>
    </w:p>
    <w:p>
      <w:pPr>
        <w:spacing w:after="0" w:line="192"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 xml:space="preserve">Progress reports detailing the results of the clinical trials must be submitted at least annually to the FDA and more frequently if serious AEs occur. In addition, IND safety reports must be submitted to the FDA for any of the following: serious and unexpected suspected adverse reactions; findings from other studies or animal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that suggest a significant risk in humans exposed to the drug; and any clinically important increase in the case of a serious suspected adverse reaction over that listed in the protocol or investigator brochure.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drug has been associated with unexpected serious harm to patients. The FDA will typically inspect one or more clinical sites to assure compliance with GCP and the integrity of the clinical data submitted.</w:t>
      </w:r>
    </w:p>
    <w:p>
      <w:pPr>
        <w:spacing w:after="0" w:line="174"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Concurrent with clinical trials, companies often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and purity of the final drug. Additionally, appropriate packaging must be selected and tested</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t>and stability studies must be conducted to demonstrate that the drug candidate does not undergo unacceptable deterioration over its shelf life.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Submission of an NDA to the FDA</w:t>
      </w:r>
    </w:p>
    <w:p>
      <w:pPr>
        <w:spacing w:after="0" w:line="225" w:lineRule="exact"/>
        <w:rPr>
          <w:sz w:val="20"/>
          <w:szCs w:val="20"/>
          <w:color w:val="auto"/>
        </w:rPr>
      </w:pPr>
    </w:p>
    <w:p>
      <w:pPr>
        <w:ind w:right="80" w:firstLine="341"/>
        <w:spacing w:after="0" w:line="291" w:lineRule="auto"/>
        <w:rPr>
          <w:sz w:val="20"/>
          <w:szCs w:val="20"/>
          <w:color w:val="auto"/>
        </w:rPr>
      </w:pPr>
      <w:r>
        <w:rPr>
          <w:rFonts w:ascii="Arial" w:cs="Arial" w:eastAsia="Arial" w:hAnsi="Arial"/>
          <w:sz w:val="16"/>
          <w:szCs w:val="16"/>
          <w:color w:val="auto"/>
        </w:rPr>
        <w:t>Assuming successful completion of required clinical testing and other requirements, the results of the preclinical studies and clinical trials, together with detailed information relating to the product's chemistry, manufacture, controls and proposed labeling, among other things, are submitted to the FDA as part of an NDA requesting approval to market the drug product for one or more indications. Data can come from company-sponsored clinical trials intended to test the safety and effectiveness of a use of a product, or from several alternative sources, including investigator-initiated trials that are not sponsored by company. Under federal law, the submission of most NDAs is additionally subject to an application user fee, which for federal fiscal year 2019 is $2,588,478. The sponsor of an approved NDA is also subject to annual program fees, which for fiscal year 2019 are $309,915 per eligible product.</w:t>
      </w:r>
    </w:p>
    <w:p>
      <w:pPr>
        <w:spacing w:after="0" w:line="174" w:lineRule="exact"/>
        <w:rPr>
          <w:sz w:val="20"/>
          <w:szCs w:val="20"/>
          <w:color w:val="auto"/>
        </w:rPr>
      </w:pPr>
    </w:p>
    <w:p>
      <w:pPr>
        <w:ind w:right="100" w:firstLine="348"/>
        <w:spacing w:after="0" w:line="253" w:lineRule="auto"/>
        <w:rPr>
          <w:sz w:val="20"/>
          <w:szCs w:val="20"/>
          <w:color w:val="auto"/>
        </w:rPr>
      </w:pPr>
      <w:r>
        <w:rPr>
          <w:rFonts w:ascii="Arial" w:cs="Arial" w:eastAsia="Arial" w:hAnsi="Arial"/>
          <w:sz w:val="18"/>
          <w:szCs w:val="18"/>
          <w:color w:val="auto"/>
        </w:rPr>
        <w:t>The FDA conducts a preliminary review of an NDA within 60 days of its receipt and informs the sponsor whether the application is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process of NDAs. Most such applications are meant to be reviewed within ten months from the filing date, and most applications for "priority review" products are meant to be reviewed within six months of the filing date. The review process and the Prescription Drug User Fee Act goal date may be extended by the FDA for three additional months to consider new information or clarification provided by the applicant to address an outstanding deficiency identified by the FDA following the original submission.</w:t>
      </w:r>
    </w:p>
    <w:p>
      <w:pPr>
        <w:spacing w:after="0" w:line="19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Before approving an NDA, the FDA typically will inspect the facility or facilities where the product is or will be manufactured. These pre-approval inspections may cover all facilities associated with an NDA submission, including drug component manufacturing (such as APIs), finished drug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w:t>
      </w:r>
    </w:p>
    <w:p>
      <w:pPr>
        <w:spacing w:after="0" w:line="170" w:lineRule="exact"/>
        <w:rPr>
          <w:sz w:val="20"/>
          <w:szCs w:val="20"/>
          <w:color w:val="auto"/>
        </w:rPr>
      </w:pPr>
    </w:p>
    <w:p>
      <w:pPr>
        <w:ind w:right="160" w:firstLine="351"/>
        <w:spacing w:after="0" w:line="289" w:lineRule="auto"/>
        <w:rPr>
          <w:sz w:val="20"/>
          <w:szCs w:val="20"/>
          <w:color w:val="auto"/>
        </w:rPr>
      </w:pPr>
      <w:r>
        <w:rPr>
          <w:rFonts w:ascii="Arial" w:cs="Arial" w:eastAsia="Arial" w:hAnsi="Arial"/>
          <w:sz w:val="16"/>
          <w:szCs w:val="16"/>
          <w:color w:val="auto"/>
        </w:rPr>
        <w:t>In addition, as a condition of approval, the FDA may require an applicant to develop a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 REMS can include medication guides, physician communication plans for healthcare professionals, and elements to assure safe use, or ETASU. ETASU may include, but are not limited to, special training or certification for prescribing or dispensing, dispensing only under certain circumstances, special monitoring, and the use of patient registries. The FDA may require a REMS before approval or post-approval if it becomes aware of a serious risk associated with use of the product. The requirement for a REMS can materially affect the potential market and profitability of a product.</w:t>
      </w:r>
    </w:p>
    <w:p>
      <w:pPr>
        <w:spacing w:after="0" w:line="172"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FDA is required to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i w:val="1"/>
          <w:iCs w:val="1"/>
          <w:color w:val="auto"/>
        </w:rPr>
        <w:t>Fast track, breakthrough therapy and priority review designations</w:t>
      </w:r>
    </w:p>
    <w:p>
      <w:pPr>
        <w:spacing w:after="0" w:line="225"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FDA is authorized to designate certain products for expedited review if they are intended to address an unmet medical need in the treatment of a serious or life-threatening disease or condition. These programs are referred to as fast track designation, breakthrough therapy designation and priority review designation. In May 2014, the FDA published a final Guidance for Industry titled "Expedited Programs for Serious Conditions-Drugs and Biologics," which provides guidance on the FDA programs that are intended to facilitate and expedite development and review of new product candidates as well as threshold criteria generally applicable to concluding that a product candidate is a candidate for these expedited development and review programs.</w:t>
      </w:r>
    </w:p>
    <w:p>
      <w:pPr>
        <w:spacing w:after="0" w:line="170"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Specifically,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Second,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74"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Third, the FDA may designate a product for priority review if it is a product that treats a serious condition and, if approved, would provide a significant improvement in safety or effectiveness. The FDA determines, on a case- 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Accelerated approval pathway</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FDA may grant accelerated approval to a drug for a serious or life-threatening condition that provides meaningful therapeutic advantage to patients over existing treatments based upon a determination that the drug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irreversible morbidity or mortality or other clinical benefit, taking into account the severity, rarity or prevalence of the condition and the availability or lack of alternative treatments. Drugs granted accelerated approval must meet the same statutory standards for safety and effectiveness as those granted traditional approval.</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7" w:name="page138"/>
    <w:bookmarkEnd w:id="137"/>
    <w:p>
      <w:pPr>
        <w:ind w:right="40" w:firstLine="351"/>
        <w:spacing w:after="0" w:line="291" w:lineRule="auto"/>
        <w:rPr>
          <w:sz w:val="20"/>
          <w:szCs w:val="20"/>
          <w:color w:val="auto"/>
        </w:rPr>
      </w:pPr>
      <w:r>
        <w:rPr>
          <w:rFonts w:ascii="Arial" w:cs="Arial" w:eastAsia="Arial" w:hAnsi="Arial"/>
          <w:sz w:val="16"/>
          <w:szCs w:val="16"/>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drug.</w:t>
      </w:r>
    </w:p>
    <w:p>
      <w:pPr>
        <w:spacing w:after="0" w:line="174" w:lineRule="exact"/>
        <w:rPr>
          <w:sz w:val="20"/>
          <w:szCs w:val="20"/>
          <w:color w:val="auto"/>
        </w:rPr>
      </w:pPr>
    </w:p>
    <w:p>
      <w:pPr>
        <w:ind w:right="40" w:firstLine="348"/>
        <w:spacing w:after="0" w:line="323" w:lineRule="auto"/>
        <w:rPr>
          <w:sz w:val="20"/>
          <w:szCs w:val="20"/>
          <w:color w:val="auto"/>
        </w:rPr>
      </w:pPr>
      <w:r>
        <w:rPr>
          <w:rFonts w:ascii="Arial" w:cs="Arial" w:eastAsia="Arial" w:hAnsi="Arial"/>
          <w:sz w:val="15"/>
          <w:szCs w:val="15"/>
          <w:color w:val="auto"/>
        </w:rPr>
        <w:t>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Thus, accelerated approval has been used extensively in the development and approval of drugs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152"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accelerated approval pathway is contingent on a sponsor's agreement to conduct, in a diligent manner, additional post-approval confirmatory studies to verify and describe the drug's clinical benefit. As a result, a drug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withdraw the drug from the market on an expedited basis. All promotional materials for drug candidates approved under accelerated regulations are subject to prior review by the FDA.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FDA's decision on an NDA</w:t>
      </w:r>
    </w:p>
    <w:p>
      <w:pPr>
        <w:spacing w:after="0" w:line="225"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On the basis of the FDA's evaluation of the NDA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20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If the FDA approves a product, it may limit the approved indications for use for the product, require that contraindications, warnings or precautions be included in the product labeling, require that post-approval studies, including Phase 4 clinical trials, be conducted to further assess the drug's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i w:val="1"/>
          <w:iCs w:val="1"/>
          <w:color w:val="auto"/>
        </w:rPr>
        <w:t>Post-approval requirements</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70"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AEs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210" w:lineRule="exact"/>
        <w:rPr>
          <w:sz w:val="20"/>
          <w:szCs w:val="20"/>
          <w:color w:val="auto"/>
        </w:rPr>
      </w:pPr>
    </w:p>
    <w:p>
      <w:pPr>
        <w:ind w:left="1080" w:right="42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including total or partial suspension of production, complete withdrawal of the product from the market or product recalls;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refusal of the FDA to approve pending NDAs or supplements to approved NDAs, or suspension or revocation of product license approvals;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260" w:firstLine="348"/>
        <w:spacing w:after="0" w:line="306"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Drugs may be promoted only for the approved indications and in accordance with the provisions of the approved labeling. The FDA and other agencies actively enforce the laws and regulations prohibiting the promotion of off-label uses, and a company that is found to have improperly promoted off-label uses may be subject to significant liability.</w:t>
      </w:r>
    </w:p>
    <w:p>
      <w:pPr>
        <w:spacing w:after="0" w:line="16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 addition, the distribution of prescription drug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drug product samples and impose requirements to ensure accountability in distribution.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i w:val="1"/>
          <w:iCs w:val="1"/>
          <w:color w:val="auto"/>
        </w:rPr>
        <w:t>Abbreviated new drug applications for generic drugs</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1984, with passage of the Hatch-Waxman Amendments to the FDCA, Congress established an abbreviated regulatory scheme allowing the FDA to approve generic drugs that are shown to contain the same active ingredients as, and to be bioequivalent to, drugs previously approved by the FDA pursuant to NDAs. To obtain approval of a generic drug, an applicant must submit an abbreviated new drug application, or ANDA, to the agency. An ANDA is a comprehensive submission that contains, among other things, data and information pertaining to the API, bioequivalence, drug product formulation, specifications and stability of the generic drug, as well as analytical methods, manufacturing process validation data and quality control procedures. ANDAs are "abbreviated" because they generally do not include preclinical and clinical data to demonstrate safety and effectiveness. Instead, in support of such applications, a generic manufacturer may rely on the preclinical and clinical testing previously conducted for a drug product previously approved under an NDA, known as the reference-listed drug, or RLD.</w:t>
      </w:r>
    </w:p>
    <w:p>
      <w:pPr>
        <w:spacing w:after="0" w:line="199" w:lineRule="exact"/>
        <w:rPr>
          <w:sz w:val="20"/>
          <w:szCs w:val="20"/>
          <w:color w:val="auto"/>
        </w:rPr>
      </w:pPr>
    </w:p>
    <w:p>
      <w:pPr>
        <w:ind w:right="100" w:firstLine="351"/>
        <w:spacing w:after="0" w:line="287" w:lineRule="auto"/>
        <w:rPr>
          <w:sz w:val="20"/>
          <w:szCs w:val="20"/>
          <w:color w:val="auto"/>
        </w:rPr>
      </w:pPr>
      <w:r>
        <w:rPr>
          <w:rFonts w:ascii="Arial" w:cs="Arial" w:eastAsia="Arial" w:hAnsi="Arial"/>
          <w:sz w:val="16"/>
          <w:szCs w:val="16"/>
          <w:color w:val="auto"/>
        </w:rPr>
        <w:t>Specifically, in order for an ANDA to be approved, the FDA must find that the generic version is identical to the RLD with respect to the active ingredients, the route of administration, the dosage form, and the strength of the drug. An applicant may submit an ANDA suitability petition to request the FDA's prior permission to submit an abbreviated application for a drug that differs from the RLD in route of administration, dosage form, or strength, or for a drug that has one different active ingredient in a fixed-combination drug product (i.e., a drug product with multiple active ingredients).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Physicians and pharmacists may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spacing w:after="0" w:line="17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Under the Hatch-Waxman Amendments, the FDA may not approve an ANDA until any applicable period of non-patent exclusivity for the RLD has expired. The FDCA provides a period of five years of non-patent data exclusivity for a new drug containing a new chemical entity. For the purposes of this provision, an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from the date the NDA is approved, unless the submission is accompanied by a Paragraph IV certification, in which case the applicant may submit its application four years following the original product approval.</w:t>
      </w:r>
    </w:p>
    <w:p>
      <w:pPr>
        <w:spacing w:after="0" w:line="174"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seeking approval for generic versions of the drug as of the date of approval of the original drug product; it does, however, block the FDA from approving ANDAs during the period of exclusivity. The FDA typically makes decisions about awards of data exclusivity shortly before a product is approved.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i w:val="1"/>
          <w:iCs w:val="1"/>
          <w:color w:val="auto"/>
        </w:rPr>
        <w:t>505(b)(2) NDAs</w:t>
      </w:r>
    </w:p>
    <w:p>
      <w:pPr>
        <w:spacing w:after="0" w:line="225" w:lineRule="exact"/>
        <w:rPr>
          <w:sz w:val="20"/>
          <w:szCs w:val="20"/>
          <w:color w:val="auto"/>
        </w:rPr>
      </w:pPr>
    </w:p>
    <w:p>
      <w:pPr>
        <w:ind w:right="40" w:firstLine="341"/>
        <w:spacing w:after="0" w:line="289" w:lineRule="auto"/>
        <w:rPr>
          <w:sz w:val="20"/>
          <w:szCs w:val="20"/>
          <w:color w:val="auto"/>
        </w:rPr>
      </w:pPr>
      <w:r>
        <w:rPr>
          <w:rFonts w:ascii="Arial" w:cs="Arial" w:eastAsia="Arial" w:hAnsi="Arial"/>
          <w:sz w:val="16"/>
          <w:szCs w:val="16"/>
          <w:color w:val="auto"/>
        </w:rPr>
        <w:t>As an alternative path to FDA approval for modifications to formulations or uses of products previously approved by the FDA pursuant to an NDA, an applicant may submit an NDA under Section 505(b)(2) of the FDCA. Section 505(b)(2) was enacted as part of the Hatch-Waxman Amendments and permits the filing of an NDA where at least some of the information required for approval comes from studies not conducted by, or for, the applicant, and for which the applicant has not obtained a right of reference. If the 505(b)(2) applicant can establish that reliance on FDA's previous findings of safety and effectiveness is scientifically and legally appropriate, it may eliminate the need to conduct certain preclinical studies or clinical trials of the new product. The FDA may also require companies to perform additional bridging studies or measurements, including clinical trials, to support the change from the previously approved reference drug. The FDA may then approve the new product candidate for all, or some, of the label indications for which the reference drug has been approved, as well as for any new indication sought by the 505(b)(2) applicant.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Hatch-Waxman patent certification and the 30-Month Stay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methods-of-use for which the ANDA applicant is not seeking approval. 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Specifically, the applicant must certify with respect to each patent that:</w:t>
      </w:r>
    </w:p>
    <w:p>
      <w:pPr>
        <w:spacing w:after="0" w:line="239"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required patent information has not been filed;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listed patent has expired;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listed patent has not expired, but will expire on a particular date and approval is sought after patent expiration;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listed patent is invalid, unenforceable or will not be infringed by the new product.</w:t>
      </w:r>
    </w:p>
    <w:p>
      <w:pPr>
        <w:spacing w:after="0" w:line="225"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 certification that the new product will not infringe the already approved product's listed patents or that such patents are invalid or unenforceable is called a Paragraph IV certification. If the applicant does not challenge the listed patents or indicates that it is not seeking approval of a patented method of use, the application will not be approved until all the listed patents claiming the referenced product have expired (other than method of use patents involving indications for which the applicant is not seeking approval).</w:t>
      </w:r>
    </w:p>
    <w:p>
      <w:pPr>
        <w:spacing w:after="0" w:line="19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If the ANDA or 505(b)(2) applicant has provided a Paragraph IV certification to the FDA, the applicant must also send notice of the Paragraph IV certification to the NDA and patent holders once the ANDA or 505(b)(2) application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granting final approval of the application until the earlier of 30 months after the receipt of the Paragraph IV notice, expiration of the patent, or a decision in the infringement case that is favorable to the applicant. The ANDA or 505(b)(2) application also will not be approved until any applicable non-patent exclusivity listed in the Orange Book for the branded reference drug has expired.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i w:val="1"/>
          <w:iCs w:val="1"/>
          <w:color w:val="auto"/>
        </w:rPr>
        <w:t>Pediatric studies and exclusivity</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Under the Pediatric Research Equity Act of 2003, an NDA or supplement thereto must contain data that are adequate to assess the safety and effectiveness of the drug product for the claimed indications in all relevant pediatric subpopulations, and to support dosing and administration for each pediatric subpopulation for which the product is safe and effective. With enactment of the Food and Drug Administration Safety and Innovation Act of 2012, sponsors must also submit pediatric study plans prior to the assessment data.</w:t>
      </w:r>
    </w:p>
    <w:p>
      <w:pPr>
        <w:spacing w:after="0" w:line="197"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16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197"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If the request is granted, the FDA will disclose the identity of the therapeutic agent and its potential use. Orphan product designation does not convey any advantage in or shorten the duration of the regulatory review and approval process.</w:t>
      </w:r>
    </w:p>
    <w:p>
      <w:pPr>
        <w:spacing w:after="0" w:line="170"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If the sponsor of a product with orphan designation receives the first FDA approval for that drug for the disease or condition for which it has such designation or for a select indication or use within the rare disease or condition for which it was designated, the product generally will receive orphan product exclusivity. Orphan product exclusivity means that the FDA may not approve any other applications for the same product for the same indication for seven years, except in certain limited circumstances. If a drug or drug product designated as an orphan product ultimately receives marketing approval for an indication broader than what was designated in its orphan product application, it may not be entitled to exclusivity. Orphan exclusivity will not bar approval of another product under certain circumstances, including if a subsequent product with the same active ingredient for the same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2" w:name="page143"/>
    <w:bookmarkEnd w:id="142"/>
    <w:p>
      <w:pPr>
        <w:ind w:right="80"/>
        <w:spacing w:after="0" w:line="255" w:lineRule="auto"/>
        <w:rPr>
          <w:sz w:val="20"/>
          <w:szCs w:val="20"/>
          <w:color w:val="auto"/>
        </w:rPr>
      </w:pPr>
      <w:r>
        <w:rPr>
          <w:rFonts w:ascii="Arial" w:cs="Arial" w:eastAsia="Arial" w:hAnsi="Arial"/>
          <w:sz w:val="18"/>
          <w:szCs w:val="18"/>
          <w:color w:val="auto"/>
        </w:rPr>
        <w:t>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indication or disease as long as the products contain different active ingredients. Moreover, competitors may receive approval of different products for the indication for which the orphan product has exclusivity or obtain approval for the same product but for a different indication for which the orphan product has exclusivity.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term restoration and extension</w:t>
      </w:r>
    </w:p>
    <w:p>
      <w:pPr>
        <w:spacing w:after="0" w:line="225" w:lineRule="exact"/>
        <w:rPr>
          <w:sz w:val="20"/>
          <w:szCs w:val="20"/>
          <w:color w:val="auto"/>
        </w:rPr>
      </w:pPr>
    </w:p>
    <w:p>
      <w:pPr>
        <w:ind w:firstLine="341"/>
        <w:spacing w:after="0" w:line="306" w:lineRule="auto"/>
        <w:rPr>
          <w:sz w:val="20"/>
          <w:szCs w:val="20"/>
          <w:color w:val="auto"/>
        </w:rPr>
      </w:pPr>
      <w:r>
        <w:rPr>
          <w:rFonts w:ascii="Arial" w:cs="Arial" w:eastAsia="Arial" w:hAnsi="Arial"/>
          <w:sz w:val="15"/>
          <w:szCs w:val="15"/>
          <w:color w:val="auto"/>
        </w:rPr>
        <w:t>A patent claiming a new drug product may be eligible for a limited patent term extension under the Hatch-Waxman Act, which permits a patent restoration of up to five years for patent term lost during product development and the FDA regulatory review. The restoration period granted is typically one-half the time between the effective date of an IND and the submission date of an NDA less any time the applicant did not act with due diligence during the period, plus the time between the submission date of an NDA and the ultimate approval date less any time the applicant did not act with due diligence during the period. Patent term restoration cannot be used to extend the remaining term of a patent past a total of 14 years from the product's approval date. Only one patent applicable to an approved drug product is eligible for the extension, only those claims covering the approved drug, a method for using it, or a method for manufacturing it may be extended, and the application for the extension must be submitted prior to the expiration of the patent in question. A patent that covers multiple drugs for which approval is sought can only be extended in connection with one of the approvals. The USPTO reviews and approves the application for any patent term extension or restoration in consultation with the FDA.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if granted, the length of such extensions. For more information regarding the risks related to our intellectual property, see "Risk Factors—Risks Related to Our Intellectual Property."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approval and regulation of companion diagnostics</w:t>
      </w:r>
    </w:p>
    <w:p>
      <w:pPr>
        <w:spacing w:after="0" w:line="225" w:lineRule="exact"/>
        <w:rPr>
          <w:sz w:val="20"/>
          <w:szCs w:val="20"/>
          <w:color w:val="auto"/>
        </w:rPr>
      </w:pPr>
    </w:p>
    <w:p>
      <w:pPr>
        <w:ind w:right="120" w:firstLine="341"/>
        <w:spacing w:after="0" w:line="290" w:lineRule="auto"/>
        <w:rPr>
          <w:sz w:val="20"/>
          <w:szCs w:val="20"/>
          <w:color w:val="auto"/>
        </w:rPr>
      </w:pPr>
      <w:r>
        <w:rPr>
          <w:rFonts w:ascii="Arial" w:cs="Arial" w:eastAsia="Arial" w:hAnsi="Arial"/>
          <w:sz w:val="16"/>
          <w:szCs w:val="16"/>
          <w:color w:val="auto"/>
        </w:rPr>
        <w:t xml:space="preserve">A therapeutic product may rely upon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 for use in selecting the patients that will be more likely to respond to that therapy. If safe and effective use of a therapeutic depends on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then the FDA generally will require approval or clearance of that diagnostic, known as a companion diagnostic, at the same time that the FDA approves the therapeutic product. In August 2014, the FDA issued final guidance clarifying the requirements that will apply to approval of therapeutic products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diagnostics. According to the guidance, for novel drugs, a companion diagnostic device and its corresponding therapeutic should be approved or cleared contemporaneously by the FDA for the use indicated in the therapeutic product's labeling. In July 2016, the FDA issued a draft guidance intended to assist sponsors of the drug therapeutic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 device on issues related to co-development of the products.</w:t>
      </w:r>
    </w:p>
    <w:p>
      <w:pPr>
        <w:spacing w:after="0" w:line="172"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 xml:space="preserve">If FDA determines that a companion diagnostic device is essential to the safe and effective use of a novel therapeutic product or indication, FDA generally will not approve the therapeutic product or new therapeutic product indication if the companion diagnostic device is not approved or cleared for that indication. Approval or clearance of the companion diagnostic device will ensure that the device has been adequately evaluated and has adequate performance characteristics in the intended population. The review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diagnostics in conjunction with the review of our therapeutic treatments for cancer will, therefore, likely involve coordination of review by the FDA's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spacing w:after="0"/>
        <w:rPr>
          <w:sz w:val="20"/>
          <w:szCs w:val="20"/>
          <w:color w:val="auto"/>
        </w:rPr>
      </w:pPr>
      <w:r>
        <w:rPr>
          <w:rFonts w:ascii="Arial" w:cs="Arial" w:eastAsia="Arial" w:hAnsi="Arial"/>
          <w:sz w:val="16"/>
          <w:szCs w:val="16"/>
          <w:color w:val="auto"/>
        </w:rPr>
        <w:t>Center for Drug Evaluation and Research and the FDA's Center for Devices and Radiological Health Office of In Vitro Diagnostics Device Evaluation and Safety.</w:t>
      </w:r>
    </w:p>
    <w:p>
      <w:pPr>
        <w:spacing w:after="0" w:line="248"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 xml:space="preserve">Under the FDCA,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diagnostics, including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and premarket approval, or PMA. The FDA has generally required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diagnostics intended to select the patients who will respond to cancer treatment to obtain a PMA for that diagnostic simultaneously with approval of the drug. We expect that any companion diagnostic developed for use with APR-246 will utilize the PMA pathway.</w:t>
      </w:r>
    </w:p>
    <w:p>
      <w:pPr>
        <w:spacing w:after="0" w:line="172"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of $322,147 for most PMAs for FY 2019.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a PMA application typically requires data regarding analytical and clinical validation studies. As part of the PMA review, the FDA will typically inspect the manufacturer's facilities for compliance with the Quality System Regulation, or QSR, which imposes elaborate testing, control, documentation and other quality assurance requirements.</w:t>
      </w:r>
    </w:p>
    <w:p>
      <w:pPr>
        <w:spacing w:after="0" w:line="172"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p>
    <w:p>
      <w:pPr>
        <w:spacing w:after="0" w:line="178" w:lineRule="exact"/>
        <w:rPr>
          <w:sz w:val="20"/>
          <w:szCs w:val="20"/>
          <w:color w:val="auto"/>
        </w:rPr>
      </w:pPr>
    </w:p>
    <w:p>
      <w:pPr>
        <w:jc w:val="both"/>
        <w:ind w:right="340" w:firstLine="341"/>
        <w:spacing w:after="0" w:line="259" w:lineRule="auto"/>
        <w:rPr>
          <w:sz w:val="20"/>
          <w:szCs w:val="20"/>
          <w:color w:val="auto"/>
        </w:rPr>
      </w:pPr>
      <w:r>
        <w:rPr>
          <w:rFonts w:ascii="Arial" w:cs="Arial" w:eastAsia="Arial" w:hAnsi="Arial"/>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4" w:name="page145"/>
    <w:bookmarkEnd w:id="144"/>
    <w:p>
      <w:pPr>
        <w:jc w:val="both"/>
        <w:ind w:right="480"/>
        <w:spacing w:after="0" w:line="306" w:lineRule="auto"/>
        <w:rPr>
          <w:sz w:val="20"/>
          <w:szCs w:val="20"/>
          <w:color w:val="auto"/>
        </w:rPr>
      </w:pPr>
      <w:r>
        <w:rPr>
          <w:rFonts w:ascii="Arial" w:cs="Arial" w:eastAsia="Arial" w:hAnsi="Arial"/>
          <w:sz w:val="16"/>
          <w:szCs w:val="16"/>
          <w:color w:val="auto"/>
        </w:rPr>
        <w:t>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21st Century Cures Act</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On December 13, 2016, then-President Obama signed 21st Century Cures Act, or the Cures Act, into law. The Cures Act is designed to modernize and personalize healthcare, spur innovation and research, and streamline the discovery and development of new therapies through increased federal funding of particular programs. It authorizes increased funding for the FDA to spend on innovation projects. The new law also amends the PHSA to reauthorize and expand funding for the NIH. The Cures Act establishes the NIH Innovation Fund to pay for the cost of development and implementation of a strategic plan, early stage investigators and research. It also charges NIH with leading and coordinating expanded pediatric research. Further, the Cures Act directs the Centers for Disease Control and Prevention to expand surveillance of neurological diseases.</w:t>
      </w:r>
    </w:p>
    <w:p>
      <w:pPr>
        <w:spacing w:after="0" w:line="174"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With amendments to the FDCA and the PHSA, Title III of the Cures Act seeks to accelerate the discovery, development, and delivery of new medicines and medical technologies. To that end, and among other provisions, the Cures Act reauthorizes the existing priority review voucher program for certain drugs intended to treat rare pediatric diseases until 2020; creates a new priority review voucher program for drug applications determined to be material national security threat medical countermeasure applications; revises the FDCA to streamline review of combination product applications; requires FDA to evaluate the potential use of "real world evidence" to help support approval of new indications for approved drugs; provides a new "limited population" approval pathway for antibiotic and antifungal drugs intended to treat serious or life-threatening infections; and authorizes FDA to designate a drug as a "regenerative advanced therapy," thereby making it eligible for certain expedited review and approval designations.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outside the United States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Regulations and procedures governing approval of drug products in the EU</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the company would need to obtain the necessary approvals by the comparable foreign regulatory authorities before it can commence clinical trials or marketing of the product in those countries or jurisdictions. Specifically, the process governing approval of drug products in the EU generally follows the same lines as in the United States and involves satisfactorily completing preclinical studies and adequate and well-controlled clinical trials to establish the safety and efficacy of the product for each proposed indication, as well as the submission to the relevant competent authorities of a marketing authorisation application, or MAA, and actual granting of a marketing authorization by these authorities before the product can be marketed and sold in the EU.</w:t>
      </w:r>
    </w:p>
    <w:p>
      <w:pPr>
        <w:spacing w:after="0" w:line="17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Clinical Trial Approval. </w:t>
      </w:r>
      <w:r>
        <w:rPr>
          <w:rFonts w:ascii="Arial" w:cs="Arial" w:eastAsia="Arial" w:hAnsi="Arial"/>
          <w:sz w:val="18"/>
          <w:szCs w:val="18"/>
          <w:color w:val="auto"/>
        </w:rPr>
        <w:t>Pursuant to the currently applicable Clinical Trials Directive 2001/20/EC and the Directive 2005/28/EC on Good Clinical Practice,</w:t>
      </w:r>
      <w:r>
        <w:rPr>
          <w:rFonts w:ascii="Arial" w:cs="Arial" w:eastAsia="Arial" w:hAnsi="Arial"/>
          <w:sz w:val="18"/>
          <w:szCs w:val="18"/>
          <w:i w:val="1"/>
          <w:iCs w:val="1"/>
          <w:color w:val="auto"/>
        </w:rPr>
        <w:t xml:space="preserve"> </w:t>
      </w:r>
      <w:r>
        <w:rPr>
          <w:rFonts w:ascii="Arial" w:cs="Arial" w:eastAsia="Arial" w:hAnsi="Arial"/>
          <w:sz w:val="18"/>
          <w:szCs w:val="18"/>
          <w:color w:val="auto"/>
        </w:rPr>
        <w:t>a system for the approval of clinical trials in the EU has been implemented through national legislation of the member states. Under this system, an applicant must obtain approval from the competent national authority of a EU member state in which the clinical trial is to be conducted, or in multiple member states if the clinical trial is to be conducted in a number of member states.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5" w:name="page146"/>
    <w:bookmarkEnd w:id="145"/>
    <w:p>
      <w:pPr>
        <w:ind w:right="280" w:firstLine="351"/>
        <w:spacing w:after="0" w:line="306" w:lineRule="auto"/>
        <w:rPr>
          <w:sz w:val="20"/>
          <w:szCs w:val="20"/>
          <w:color w:val="auto"/>
        </w:rPr>
      </w:pPr>
      <w:r>
        <w:rPr>
          <w:rFonts w:ascii="Arial" w:cs="Arial" w:eastAsia="Arial" w:hAnsi="Arial"/>
          <w:sz w:val="16"/>
          <w:szCs w:val="16"/>
          <w:color w:val="auto"/>
        </w:rPr>
        <w:t>Furthermore, the applicant may only start a clinical trial at a specific study site after the competent ethics committee has issued a favorable opinion. The clinical trial application must be accompanied by an investigational drug product dossier with supporting information prescribed by Directive 2001/20/EC and Directive 2005/28/EC and corresponding national laws of the member states and further detailed in applicable guidance documents.</w:t>
      </w:r>
    </w:p>
    <w:p>
      <w:pPr>
        <w:spacing w:after="0" w:line="16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April 2014, the EU adopted a new Clinical Trials Regulation, (EU) No 536/2014, which will replace the current Clinical Trials Directive 2001/20/EC. To ensure that the rules for clinical trials are identical throughout the EU, the new EU clinical trials legislation was passed as a regulation that is directly applicable in all EU member states without the need for implementation into the member states' national laws. All clinical trials performed in the EU are required to be conducted in accordance with the Clinical Trials Directive 2001/20/EC until the new Clinical Trials Regulation (EU) No 536/2014 becomes applicable. According to the current plans of the European Medicines Agency, or EMA, the new Clinical Trials Regulation will become applicable in 2020. The Clinical Trials Directive 2001/20/EC will, however, still apply three years from the date of entry into application of the Clinical Trials Regulation to (i) clinical trials applications submitted before the entry into application and (ii) clinical trials applications submitted within one year after the entry into application if the sponsor opts for old system.</w:t>
      </w:r>
    </w:p>
    <w:p>
      <w:pPr>
        <w:spacing w:after="0" w:line="199"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new Clinical Trials Regulation aims to simplify and streamline the approval of clinical trial in the EU. The main characteristics of the regulation include: a streamlined application procedure via a single entry point, the EU portal; a single set of documents to be prepared and submitted for the application as well as simplified reporting procedures that will spare sponsors from submitting broadly identical information separately to various bodies and different member states; a harmonized procedure for the assessment of applications for clinical trials, which is divided in two parts. Part I is assessed jointly by all member states concerned. Part II is assessed separately by each member state concerned; strictly defined deadlines for the assessment of clinical trial applications; and the involvement of the ethics committees in the assessment procedure in accordance with the national law of the member state concerned but within the overall timelines defined by the Clinical Trials Regulation.</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Marketing Authorization. </w:t>
      </w:r>
      <w:r>
        <w:rPr>
          <w:rFonts w:ascii="Arial" w:cs="Arial" w:eastAsia="Arial" w:hAnsi="Arial"/>
          <w:sz w:val="16"/>
          <w:szCs w:val="16"/>
          <w:color w:val="auto"/>
        </w:rPr>
        <w:t>To obtain a marketing authorization for a product under EU regulatory systems, an applicant must submit an MAA either under a</w:t>
      </w:r>
      <w:r>
        <w:rPr>
          <w:rFonts w:ascii="Arial" w:cs="Arial" w:eastAsia="Arial" w:hAnsi="Arial"/>
          <w:sz w:val="16"/>
          <w:szCs w:val="16"/>
          <w:i w:val="1"/>
          <w:iCs w:val="1"/>
          <w:color w:val="auto"/>
        </w:rPr>
        <w:t xml:space="preserve"> </w:t>
      </w:r>
      <w:r>
        <w:rPr>
          <w:rFonts w:ascii="Arial" w:cs="Arial" w:eastAsia="Arial" w:hAnsi="Arial"/>
          <w:sz w:val="16"/>
          <w:szCs w:val="16"/>
          <w:color w:val="auto"/>
        </w:rPr>
        <w:t>centralized procedure administered by the EMA or one of the procedures administered by competent authorities in EU member states (decentralized procedure, national procedure or mutual recognition procedure). A marketing authorization may be granted only to an applicant established in the EU. In the case of pediatric patients, Regulation (EC) No 1901/2006 provides that prior to obtaining a marketing authorization in the EU, applicants have to demonstrate compliance with all measures included in an EMA-approved Paediatric Investigation Plan, or PIP, covering all subsets of the pediatric population, unless the EMA has granted (1) a product-specific waiver, (2) a class waiver or (3) a deferral for one or more of the measures included in the PIP.</w:t>
      </w:r>
    </w:p>
    <w:p>
      <w:pPr>
        <w:spacing w:after="0" w:line="174"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centralized procedure provides for the grant of a single marketing authorization by the European Commission that is valid for all EU member states. Pursuant to Regulation (EC) No 726/2004, the centralized procedure is compulsory for specific products, including for medicines produced by certain biotechnological processes, products designated as orphan drug products, advanced therapy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w:t>
      </w:r>
    </w:p>
    <w:p>
      <w:pPr>
        <w:spacing w:after="0" w:line="170"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Under the centralized procedure, the Committee for Medicinal Products for Human Use, or the CHMP, established at the EMA is responsible for conducting the initial assessment of a product. The CHMP is also responsible for several post-authorization and maintenance activities, such as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6" w:name="page147"/>
    <w:bookmarkEnd w:id="146"/>
    <w:p>
      <w:pPr>
        <w:ind w:right="240"/>
        <w:spacing w:after="0" w:line="291" w:lineRule="auto"/>
        <w:rPr>
          <w:sz w:val="20"/>
          <w:szCs w:val="20"/>
          <w:color w:val="auto"/>
        </w:rPr>
      </w:pPr>
      <w:r>
        <w:rPr>
          <w:rFonts w:ascii="Arial" w:cs="Arial" w:eastAsia="Arial" w:hAnsi="Arial"/>
          <w:sz w:val="16"/>
          <w:szCs w:val="16"/>
          <w:color w:val="auto"/>
        </w:rPr>
        <w:t>assessment of modifications or extensions to an existing marketing authorization. Under the centralized procedure in the EU, the maximum timeframe for the evaluation of an MAA is 210 days, excluding clock stops, when additional information or written or oral explanation is to be provided by the applicant in response to questions of the CHMP. Accelerated evaluation might be granted by the CHMP in exceptional cases, when a drug product is of major interest from the point of view of public health and in particular from the viewpoint of therapeutic innovation. If the CHMP accepts such request, the time limit of 210 days will be reduced to 150 days but it is possible that the CHMP can revert to the standard time limit for the centralized procedure if it considers that it is no longer appropriate to conduct an accelerated assessment.</w:t>
      </w:r>
    </w:p>
    <w:p>
      <w:pPr>
        <w:spacing w:after="0" w:line="17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i w:val="1"/>
          <w:iCs w:val="1"/>
          <w:color w:val="auto"/>
        </w:rPr>
        <w:t xml:space="preserve">Regulatory data protection in the EU. </w:t>
      </w:r>
      <w:r>
        <w:rPr>
          <w:rFonts w:ascii="Arial" w:cs="Arial" w:eastAsia="Arial" w:hAnsi="Arial"/>
          <w:sz w:val="16"/>
          <w:szCs w:val="16"/>
          <w:color w:val="auto"/>
        </w:rPr>
        <w:t>In the EU, new chemical entities approved on the basis of a complete independent data package qualify for eight</w:t>
      </w:r>
      <w:r>
        <w:rPr>
          <w:rFonts w:ascii="Arial" w:cs="Arial" w:eastAsia="Arial" w:hAnsi="Arial"/>
          <w:sz w:val="16"/>
          <w:szCs w:val="16"/>
          <w:i w:val="1"/>
          <w:iCs w:val="1"/>
          <w:color w:val="auto"/>
        </w:rPr>
        <w:t xml:space="preserve"> </w:t>
      </w:r>
      <w:r>
        <w:rPr>
          <w:rFonts w:ascii="Arial" w:cs="Arial" w:eastAsia="Arial" w:hAnsi="Arial"/>
          <w:sz w:val="16"/>
          <w:szCs w:val="16"/>
          <w:color w:val="auto"/>
        </w:rPr>
        <w:t>years of data exclusivity upon marketing authorization and an additional two years of market exclusivity pursuant to Regulation (EC) No 726/2004, as amended, and Directive 2001/83/EC, as amended. Data exclusivity prevents regulatory authorities in the EU from referencing the innovator's data to assess a generic (abbreviated) application for a period of eight years. During an additional two-year period of market exclusivity, a generic marketing authorization application can be submitted, and the innovator's data may be referenced, but no generic drug product can be marketed until the expiration of the market exclusivity.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so that the innovator gains the prescribed period of data exclusivity, another company nevertheless could also market another version of the product if such company obtained marketing authorization based on an MAA with a complete independent data package of pharmaceutical tests, preclinical tests and clinical trials.</w:t>
      </w:r>
    </w:p>
    <w:p>
      <w:pPr>
        <w:spacing w:after="0" w:line="177"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i w:val="1"/>
          <w:iCs w:val="1"/>
          <w:color w:val="auto"/>
        </w:rPr>
        <w:t xml:space="preserve">Periods of authorization and renewals. </w:t>
      </w:r>
      <w:r>
        <w:rPr>
          <w:rFonts w:ascii="Arial" w:cs="Arial" w:eastAsia="Arial" w:hAnsi="Arial"/>
          <w:sz w:val="16"/>
          <w:szCs w:val="16"/>
          <w:color w:val="auto"/>
        </w:rPr>
        <w:t>A marketing authorization shall be valid for five years in principle and the marketing authorization may be renewed</w:t>
      </w:r>
      <w:r>
        <w:rPr>
          <w:rFonts w:ascii="Arial" w:cs="Arial" w:eastAsia="Arial" w:hAnsi="Arial"/>
          <w:sz w:val="16"/>
          <w:szCs w:val="16"/>
          <w:i w:val="1"/>
          <w:iCs w:val="1"/>
          <w:color w:val="auto"/>
        </w:rPr>
        <w:t xml:space="preserve"> </w:t>
      </w:r>
      <w:r>
        <w:rPr>
          <w:rFonts w:ascii="Arial" w:cs="Arial" w:eastAsia="Arial" w:hAnsi="Arial"/>
          <w:sz w:val="16"/>
          <w:szCs w:val="16"/>
          <w:color w:val="auto"/>
        </w:rPr>
        <w:t>after five years on the basis of a re-evaluation of the risk-benefit balance by the EMA or by the competent authority of the authorizing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shall be valid for an unlimited period, unless the European Commission or the competent authority decides, on justified grounds relating to pharmacovigilance, to proceed with one additional five-year renewal. Any authorization which is not followed by the actual placing of the drug on the EU market (in case of centralized procedure) or on the market of the authorizing member state within three years after authorization ceases to be valid (the so-called sunset clause).</w:t>
      </w:r>
    </w:p>
    <w:p>
      <w:pPr>
        <w:spacing w:after="0" w:line="17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Orphan drug designation and exclusivity. </w:t>
      </w:r>
      <w:r>
        <w:rPr>
          <w:rFonts w:ascii="Arial" w:cs="Arial" w:eastAsia="Arial" w:hAnsi="Arial"/>
          <w:sz w:val="16"/>
          <w:szCs w:val="16"/>
          <w:color w:val="auto"/>
        </w:rPr>
        <w:t>Regulation (EC) No 141/2000 on orphan drug products provides that a drug shall be designated as an orphan</w:t>
      </w:r>
      <w:r>
        <w:rPr>
          <w:rFonts w:ascii="Arial" w:cs="Arial" w:eastAsia="Arial" w:hAnsi="Arial"/>
          <w:sz w:val="16"/>
          <w:szCs w:val="16"/>
          <w:i w:val="1"/>
          <w:iCs w:val="1"/>
          <w:color w:val="auto"/>
        </w:rPr>
        <w:t xml:space="preserve"> </w:t>
      </w:r>
      <w:r>
        <w:rPr>
          <w:rFonts w:ascii="Arial" w:cs="Arial" w:eastAsia="Arial" w:hAnsi="Arial"/>
          <w:sz w:val="16"/>
          <w:szCs w:val="16"/>
          <w:color w:val="auto"/>
        </w:rPr>
        <w:t>drug if its sponsor can establish that the product is intended for the diagnosis, prevention or treatment of a life-threatening or chronically debilitating condition affecting not more than five in ten thousand persons in the EU when the application is made, or that the product is intended for the diagnosis, prevention or treatment of a life-threatening, seriously debilitating or serious and chronic condition in the EU and that without incentives it is unlikely that the marketing of the drug in the EU would generate sufficient return to justify the necessary investment. For either of these conditions, the applicant must demonstrate that there exists no satisfactory method of diagnosis, prevention or treatment of the condition in question that has been authorized in the EU or, if such method exists, the drug will be of significant benefit to those affected by that condition.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7" w:name="page148"/>
    <w:bookmarkEnd w:id="147"/>
    <w:p>
      <w:pPr>
        <w:ind w:right="40" w:firstLine="351"/>
        <w:spacing w:after="0" w:line="294" w:lineRule="auto"/>
        <w:rPr>
          <w:sz w:val="20"/>
          <w:szCs w:val="20"/>
          <w:color w:val="auto"/>
        </w:rPr>
      </w:pPr>
      <w:r>
        <w:rPr>
          <w:rFonts w:ascii="Arial" w:cs="Arial" w:eastAsia="Arial" w:hAnsi="Arial"/>
          <w:sz w:val="16"/>
          <w:szCs w:val="16"/>
          <w:color w:val="auto"/>
        </w:rPr>
        <w:t>Regulation (EC) No 847/2000 sets out criteria and procedures governing designation of orphan drugs in the EU. Specifically, an application for designation as an orphan product can be made any time prior to the filing of an application for approval to market the product. Marketing authorization for an orphan drug leads to a ten-year period of market exclusivity. During this market exclusivity period, the EMA or the member state competent authorities, cannot accept another application for a marketing authorization, or grant a marketing authorization, for a similar drug product for the same indication. The period of market exclusivity is extended by two years for medicines that have also complied with an agreed PIP.</w:t>
      </w:r>
    </w:p>
    <w:p>
      <w:pPr>
        <w:spacing w:after="0" w:line="170"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This period may, however, be reduced to six years if, at the end of the fifth year, it is established that the product no longer meets the criteria for ODD, for example because the product is sufficiently profitable not to justify market exclusivity. Market exclusivity can be revoked only in very selected cases, such as consent from the marketing authorization holder, inability to supply sufficient quantities of the product, demonstration of "clinical superiority" by a similar drug product, or, after a review by the Committee for Orphan Medicinal Products, requested by a member state in the fifth year of the marketing exclusivity period (if the designation criteria are believed to no longer apply).</w:t>
      </w:r>
    </w:p>
    <w:p>
      <w:pPr>
        <w:spacing w:after="0" w:line="197" w:lineRule="exact"/>
        <w:rPr>
          <w:sz w:val="20"/>
          <w:szCs w:val="20"/>
          <w:color w:val="auto"/>
        </w:rPr>
      </w:pPr>
    </w:p>
    <w:p>
      <w:pPr>
        <w:jc w:val="both"/>
        <w:ind w:right="360" w:firstLine="351"/>
        <w:spacing w:after="0" w:line="259" w:lineRule="auto"/>
        <w:rPr>
          <w:sz w:val="20"/>
          <w:szCs w:val="20"/>
          <w:color w:val="auto"/>
        </w:rPr>
      </w:pPr>
      <w:r>
        <w:rPr>
          <w:rFonts w:ascii="Arial" w:cs="Arial" w:eastAsia="Arial" w:hAnsi="Arial"/>
          <w:sz w:val="18"/>
          <w:szCs w:val="18"/>
          <w:i w:val="1"/>
          <w:iCs w:val="1"/>
          <w:color w:val="auto"/>
        </w:rPr>
        <w:t xml:space="preserve">Regulatory requirements after a marketing authorization has been obtained. </w:t>
      </w:r>
      <w:r>
        <w:rPr>
          <w:rFonts w:ascii="Arial" w:cs="Arial" w:eastAsia="Arial" w:hAnsi="Arial"/>
          <w:sz w:val="18"/>
          <w:szCs w:val="18"/>
          <w:color w:val="auto"/>
        </w:rPr>
        <w:t>In case an authorization for a drug in the EU is obtained, the holder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authorization is required to comply with a range of requirements applicable to the manufacturing, marketing, promotion and sale of drug products. These include:</w:t>
      </w:r>
    </w:p>
    <w:p>
      <w:pPr>
        <w:spacing w:after="0" w:line="208" w:lineRule="exact"/>
        <w:rPr>
          <w:sz w:val="20"/>
          <w:szCs w:val="20"/>
          <w:color w:val="auto"/>
        </w:rPr>
      </w:pPr>
    </w:p>
    <w:p>
      <w:pPr>
        <w:ind w:left="1080" w:right="48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Compliance with the EU's stringent pharmacovigilance or safety reporting rules, pursuant to which post-authorization studies and additional monitoring obligations can be imposed, has to be ensured.</w:t>
      </w:r>
    </w:p>
    <w:p>
      <w:pPr>
        <w:spacing w:after="0" w:line="212"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manufacturing of authorized drugs, for which a separate manufacturer's license is mandatory, must also be conducted in strict compliance with the EMA's GMP requirements and comparable requirements of other regulatory bodies in the EU, which mandate the methods, facilities and controls used in manufacturing, processing and packing of drugs to assure their safety and identity.</w:t>
      </w:r>
    </w:p>
    <w:p>
      <w:pPr>
        <w:spacing w:after="0" w:line="174" w:lineRule="exact"/>
        <w:rPr>
          <w:rFonts w:ascii="Arial" w:cs="Arial" w:eastAsia="Arial" w:hAnsi="Arial"/>
          <w:sz w:val="16"/>
          <w:szCs w:val="16"/>
          <w:color w:val="auto"/>
        </w:rPr>
      </w:pPr>
    </w:p>
    <w:p>
      <w:pPr>
        <w:ind w:left="1080" w:right="40" w:hanging="532"/>
        <w:spacing w:after="0" w:line="259"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marketing and promotion of authorized drugs, including industry-sponsored continuing medical education and advertising directed toward the prescribers of drugs and/or the general public, are strictly regulated in the EU notably under Directive 2001/83EC, as amended, and EU member state laws.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Authorization to market companion diagnostics in the EU.</w:t>
      </w:r>
    </w:p>
    <w:p>
      <w:pPr>
        <w:spacing w:after="0" w:line="225"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 xml:space="preserve">In the European Economic Area, or EEA,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medical devices are currently required to conform with the essential requirements of the European Union Directive on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medical devices (Directive No 98/79/EC, as amended). To demonstrate compliance with the essential requirements, the manufacturer must undergo a conformity assessment procedure. The conformity assessment varies according to the type of medical device and its classification. The conformity assessment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medical devices can require the intervention of an accredited EEA Notified Body. If successful, the conformity assessment concludes with the drawing up by the manufacturer of an EC Declaration of Conformity entitling the manufacturer to affix the CE mark to its products and to sell them throughout the EEA. On April 5, 2017, the EU adopted the new In Vitro Device Regulation (EU) 2017/746, or IVDR, which repeals and replaces Directive No 98/79/EC. Unlike directives, which must be implemented into the national laws of the EU member states, a regulation is directly applicable,</w:t>
      </w:r>
    </w:p>
    <w:p>
      <w:pPr>
        <w:ind w:right="20"/>
        <w:spacing w:after="0" w:line="255" w:lineRule="auto"/>
        <w:rPr>
          <w:sz w:val="20"/>
          <w:szCs w:val="20"/>
          <w:color w:val="auto"/>
        </w:rPr>
      </w:pPr>
      <w:r>
        <w:rPr>
          <w:rFonts w:ascii="Arial" w:cs="Arial" w:eastAsia="Arial" w:hAnsi="Arial"/>
          <w:sz w:val="18"/>
          <w:szCs w:val="18"/>
          <w:color w:val="auto"/>
        </w:rPr>
        <w:t xml:space="preserve">i.e., without the need for adoption of EU member state laws implementing them, in all EEA member states. The IVDR, among other things, is intended to establish a uniform, transparent, predictable and sustainable regulatory framework across the EU for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medical devices and ensure a high level of safety and health while supporting innovation. The IVDR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t>will not become fully applicable until five years following its entry into force. Once applicable, the IVDR will among other things:</w:t>
      </w:r>
    </w:p>
    <w:p>
      <w:pPr>
        <w:spacing w:after="0" w:line="239"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strengthen the rules on placing devices on the market and reinforce surveillance once they are available;</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establish explicit provisions on manufacturers' responsibilities for the follow-up of the quality, performance and safety of devices placed on the market;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improve the traceability of medical devices throughout the supply chain to the end-user or patient through a unique identification number; and</w:t>
      </w:r>
    </w:p>
    <w:p>
      <w:pPr>
        <w:spacing w:after="0" w:line="261"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set up a central database to provide patients, healthcare professionals and the public with comprehensive information on products available in the EU.</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Brexit and the regulatory framework in the United Kingdom</w:t>
      </w:r>
    </w:p>
    <w:p>
      <w:pPr>
        <w:spacing w:after="0" w:line="225"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On June 23, 2016, the electorate in the U.K., voted in favor of leaving the EU, commonly referred to as Brexit. The U.K. government communicated the notice of withdrawal to the EU on March 29, 2017. Since the regulatory framework for drug products in the U.K. covering quality, safety and efficacy of drug products, clinical trials, marketing authorization, commercial sales and distribution of drug products is derived from EU directives and regulations, Brexit could materially impact the future regulatory regime which applies to products and the approval of product candidates in the U.K. It remains to be seen how, if at all, Brexit will impact regulatory requirements for product candidates and products in the U.K.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Patients and healthcare providers are unlikely to use our products unless coverage is provided and reimbursement is adequate to cover a significant portion of the cost of our products. Significant uncertainty exists as to the coverage and reimbursement status of products approved by the FDA and other comparable government authorities. Even if our product candidates are approved, sales of our products will depend, in part, on the extent to which third-party payors, including federal health care programs in the United States, such as Medicare and Medicaid, and commercial health insurers and managed care organizations, provide coverage and establish adequate reimbursement levels for such products. The process for determining whether a payor will provide coverage for a product may be separate from the process for setting the price or reimbursement rate that a payor will pay for the product once coverage is approved. Third-party payors are increasingly challenging the prices charged for, examining the medical necessity of,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 Coverage and reimbursement by a third-party payer may depend upon a number of factors, including, without limitation, the third-party payer's determination that use of a therapeutic product is:</w:t>
      </w:r>
    </w:p>
    <w:p>
      <w:pPr>
        <w:spacing w:after="0" w:line="205"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9" w:name="page150"/>
    <w:bookmarkEnd w:id="149"/>
    <w:p>
      <w:pPr>
        <w:ind w:firstLine="351"/>
        <w:spacing w:after="0" w:line="285" w:lineRule="auto"/>
        <w:rPr>
          <w:sz w:val="20"/>
          <w:szCs w:val="20"/>
          <w:color w:val="auto"/>
        </w:rPr>
      </w:pPr>
      <w:r>
        <w:rPr>
          <w:rFonts w:ascii="Arial" w:cs="Arial" w:eastAsia="Arial" w:hAnsi="Arial"/>
          <w:sz w:val="16"/>
          <w:szCs w:val="16"/>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Obtaining coverage and reimbursement approval of a product from a government or other third-party payor is a time-consuming and costly process that could require us to provide to each payer supporting scientific, clinical and cost-effectiveness data for the use of our products on a payor-by-payor basis, with no assurance that coverage and adequate reimbursement will be obtained. Nonetheless, product candidates may not be considered medically necessary or cost effective. A decision by a third-party payor not to cover our product candidates could reduce health care provider prescribing and/or patient utilization of our products once approved and have a material adverse effect on our sales, results of operations and financial condition. Additionally, a payor's decision to provide coverage for a product does not imply that an adequate reimbursement rate will be approved. Further, one payor's determination to provide coverage for a drug product does not assure that other payors will also provide coverage and reimbursement for the product, and the level of coverage and reimbursement can differ significantly from payor to payor. Third-party reimbursement and coverage may not be available to enable us to maintain price levels sufficient to realize an appropriate return on our investment in product development. In addition, prices for drugs may be reduced by mandatory discounts or rebates required by federal health care programs or private payers and by any future relaxation of laws that presently restrict imports of drugs from countries where they may be sold at lower prices than in the United States. It is difficult to predict how Medicare coverage and reimbursement policies will be applied to products for which the company receives marketing approval in the future and coverage and reimbursement under different federal health care programs is not always consistent. If reimbursement is not available or is available only at limited levels, we may not be able to successfully commercialize our products for which we receive marketing approval.</w:t>
      </w:r>
    </w:p>
    <w:p>
      <w:pPr>
        <w:spacing w:after="0" w:line="178"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The containment of healthcare costs also has become a priority of federal, state and foreign governments and the prices of drugs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74"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Outside the United States, ensuring adequate coverage and payment for our product candidates will face challenges. Pricing of prescription pharmaceuticals is subject to governmental control in many countries. Pricing negotiations with governmental authorities can extend well beyond the receipt of marketing approval for a product and may require us to conduct a clinical trial that compares the cost effectiveness of our product candidates or products to other available therapies. The conduct of such a clinical trial could be expensive and result in delays in our commercialization efforts.</w:t>
      </w:r>
    </w:p>
    <w:p>
      <w:pPr>
        <w:spacing w:after="0" w:line="16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the EU, pricing and reimbursement schemes vary widely from member state to member state. Some countries provide that products may be marketed only after a reimbursement price has been agreed. Some countries may require the completion of additional studies that compare the cost-effectiveness of a particular drug candidate to currently available therapies (so called health technology assessment, or HTA) in order to obtain reimbursement or pricing approval. EU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 have increased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0" w:name="page151"/>
    <w:bookmarkEnd w:id="150"/>
    <w:p>
      <w:pPr>
        <w:spacing w:after="0" w:line="290" w:lineRule="auto"/>
        <w:rPr>
          <w:sz w:val="20"/>
          <w:szCs w:val="20"/>
          <w:color w:val="auto"/>
        </w:rPr>
      </w:pPr>
      <w:r>
        <w:rPr>
          <w:rFonts w:ascii="Arial" w:cs="Arial" w:eastAsia="Arial" w:hAnsi="Arial"/>
          <w:sz w:val="16"/>
          <w:szCs w:val="16"/>
          <w:color w:val="auto"/>
        </w:rPr>
        <w:t>the amount of discounts required on pharmaceuticals and these efforts could continue as countries attempt to manage healthcare expenditures, especially in light of the severe fiscal and debt crises experienced by many countries in the EU. The downward pressure on healthcare costs in general, particularly prescription drugs,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(arbitrage between low-priced and high-priced member states), can further reduce prices. There can be no assurance that any country that has price controls or reimbursement limitations for drug products will allow favorable reimbursement and pricing arrangements for any of our products, if approved in those countries.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law and regulation</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the United States, our activities are potentially subject to regulation by various federal, state and local authorities in addition to the FDA, including but not limited to, the Centers for Medicare and Medicaid Services, or CMS, other divisions of the U.S. Department of Health and Human Services (such as the Office of Inspector General and the Health Resources and Service Administration), the U.S. Department of Justice, and individual U.S. Attorney offices, and state and local governments. For example, sales, marketing and scientific/educational grant programs may have to comply with the anti-fraud and abuse provisions of the Social Security Act, the false claims laws, the privacy and security provisions of HIPAA, and similar state laws, each as amended, as applicable. Healthcare providers and third-party payors play a primary role in the recommendation and prescription of drug products that are granted marketing approval. Arrangements with providers, consultants, third-party payors and customers are subject to these broadly applicable healthcare laws and regulations that may constrain our business and/or financial arrangements.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Restrictions under applicable federal and state healthcare laws and regulations, include, without limitation, the following:</w:t>
      </w:r>
    </w:p>
    <w:p>
      <w:pPr>
        <w:spacing w:after="0" w:line="239" w:lineRule="exact"/>
        <w:rPr>
          <w:sz w:val="20"/>
          <w:szCs w:val="20"/>
          <w:color w:val="auto"/>
        </w:rPr>
      </w:pPr>
    </w:p>
    <w:p>
      <w:pPr>
        <w:ind w:left="1080" w:right="20" w:hanging="532"/>
        <w:spacing w:after="0" w:line="285" w:lineRule="auto"/>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The Federal Anti-Kickback Statute</w:t>
      </w:r>
      <w:r>
        <w:rPr>
          <w:rFonts w:ascii="Arial" w:cs="Arial" w:eastAsia="Arial" w:hAnsi="Arial"/>
          <w:sz w:val="16"/>
          <w:szCs w:val="16"/>
          <w:color w:val="auto"/>
        </w:rPr>
        <w:t>—An intent-based federal criminal statute that prohibits, among other things, any person from knowingly and</w:t>
      </w:r>
      <w:r>
        <w:rPr>
          <w:rFonts w:ascii="Arial" w:cs="Arial" w:eastAsia="Arial" w:hAnsi="Arial"/>
          <w:sz w:val="16"/>
          <w:szCs w:val="16"/>
          <w:i w:val="1"/>
          <w:iCs w:val="1"/>
          <w:color w:val="auto"/>
        </w:rPr>
        <w:t xml:space="preserve"> </w:t>
      </w:r>
      <w:r>
        <w:rPr>
          <w:rFonts w:ascii="Arial" w:cs="Arial" w:eastAsia="Arial" w:hAnsi="Arial"/>
          <w:sz w:val="16"/>
          <w:szCs w:val="16"/>
          <w:color w:val="auto"/>
        </w:rPr>
        <w:t>willfully soliciting, offering, receiving or paying remuneration, directly or indirectly, in cash or in kind, to induce or reward, or in return for, either the referral of an individual for, or the purchase, order or recommendation or arranging of, any good or service, for which payment may be made, in whole or in part, by a federal health care program, such as Medicare and Medicaid. The term "remuneration" has been broadly interpreted to include anything of value. The PPACA, among other things, amended the intent requirement of the federal Anti-Kickback Statute, so that a person or entity no longer needs to have actual knowledge of this statute or specific intent to violate it. The Anti-Kickback Statute has also been interpreted to apply to arrangements between pharmaceutical manufacturers on the one hand and individuals, such as prescribers, patients, purchasers, and formulary managers on the other the other hand. A conviction for violation of the Anti-Kickback Statute results in criminal fines and requires mandatory exclusion from participation in federal health care programs. Although there are a number of statutory exceptions and regulatory safe harbors to the federal Anti-Kickback Statute that protect certain common industry practices from prosecution, the exceptions and safe harbors are narrowly drawn, and arrangements may be subject to scrutiny or penalty if they do not fully satisfy all elements of an available exception or safe harbor. The Anti-Kickback Statute safe harbors, including the discount safe harbor, are the subject of possible regulatory reforms. Any changes to the safe harbors may impact our future contractual and other arrangements with pharmacy benefit managers, third-party payors, wholesalers and distributors, healthcare providers and prescribers, and other entities, as well as our future pricing strategies.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1" w:name="page152"/>
    <w:bookmarkEnd w:id="151"/>
    <w:p>
      <w:pPr>
        <w:ind w:left="540" w:right="20" w:hanging="532"/>
        <w:spacing w:after="0" w:line="285" w:lineRule="auto"/>
        <w:tabs>
          <w:tab w:leader="none" w:pos="540"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The Federal Civil False Claims Act</w:t>
      </w:r>
      <w:r>
        <w:rPr>
          <w:rFonts w:ascii="Arial" w:cs="Arial" w:eastAsia="Arial" w:hAnsi="Arial"/>
          <w:sz w:val="16"/>
          <w:szCs w:val="16"/>
          <w:color w:val="auto"/>
        </w:rPr>
        <w:t>—Imposes civil penalties, including through civil whistleblower or</w:t>
      </w:r>
      <w:r>
        <w:rPr>
          <w:rFonts w:ascii="Arial" w:cs="Arial" w:eastAsia="Arial" w:hAnsi="Arial"/>
          <w:sz w:val="16"/>
          <w:szCs w:val="16"/>
          <w:i w:val="1"/>
          <w:iCs w:val="1"/>
          <w:color w:val="auto"/>
        </w:rPr>
        <w:t xml:space="preserve"> qui tam </w:t>
      </w:r>
      <w:r>
        <w:rPr>
          <w:rFonts w:ascii="Arial" w:cs="Arial" w:eastAsia="Arial" w:hAnsi="Arial"/>
          <w:sz w:val="16"/>
          <w:szCs w:val="16"/>
          <w:color w:val="auto"/>
        </w:rPr>
        <w:t>actions, against individuals or</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for, among other things, knowingly presenting, or causing to be presented, false or fraudulent claims for payment by a federal healthcare program or knowingly making using or causing to be made or used a false statement or record material to payment of a false claim or avoiding, decreasing or concealing an obligation to pay money to the federal government, with potential liability including mandatory treble damages and significant per-claim penalties, currently set at $11,181 to $22,363 per false claim or statement for penalties assessed after January 29, 2018, with respect to violations occurring after November 2, 2015. Among other reasons, pharmaceutical companies have been investigated and/or subject to government enforcement actions asserting liability under the federal civil False Claims Act in connection with their alleged off-label promotion of drugs, purportedly concealing price concessions in the pricing information submitted to the government for government price reporting purposes (e.g., under the Medicaid Drug Rebate Program), and allegedly providing free product to customers with the expectation that the customers would bill federal health care programs for the product. In addition, the government may assert that a claim including items or services resulting from a violation of the federal Anti-Kickback Statute constitutes a false or fraudulent claim for purposes of the federal False Claims Act. As a result of a modification made by the Fraud Enforcement and Recovery Act of 2009, a claim includes "any request or demand" for money or property presented to the U.S. government. In addition, manufacturers can be held liable under the federal False Claims Act even when they do not submit claims directly to government payors if they are deemed to "cause" the submission of false or fraudulent claims. Criminal prosecution is also possible for making or presenting a false, fictitious or fraudulent claim to the federal government.</w:t>
      </w:r>
    </w:p>
    <w:p>
      <w:pPr>
        <w:spacing w:after="0" w:line="207" w:lineRule="exact"/>
        <w:rPr>
          <w:rFonts w:ascii="Arial" w:cs="Arial" w:eastAsia="Arial" w:hAnsi="Arial"/>
          <w:sz w:val="16"/>
          <w:szCs w:val="16"/>
          <w:color w:val="auto"/>
        </w:rPr>
      </w:pPr>
    </w:p>
    <w:p>
      <w:pPr>
        <w:ind w:left="540" w:right="20" w:hanging="532"/>
        <w:spacing w:after="0" w:line="256" w:lineRule="auto"/>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The Federal Criminal Statute on False Statements Relating to Health Care Matters</w:t>
      </w:r>
      <w:r>
        <w:rPr>
          <w:rFonts w:ascii="Arial" w:cs="Arial" w:eastAsia="Arial" w:hAnsi="Arial"/>
          <w:sz w:val="18"/>
          <w:szCs w:val="18"/>
          <w:color w:val="auto"/>
        </w:rPr>
        <w:t>—Makes it a crime to knowingly and willfully falsify, conceal,</w:t>
      </w:r>
      <w:r>
        <w:rPr>
          <w:rFonts w:ascii="Arial" w:cs="Arial" w:eastAsia="Arial" w:hAnsi="Arial"/>
          <w:sz w:val="18"/>
          <w:szCs w:val="18"/>
          <w:i w:val="1"/>
          <w:iCs w:val="1"/>
          <w:color w:val="auto"/>
        </w:rPr>
        <w:t xml:space="preserve"> </w:t>
      </w:r>
      <w:r>
        <w:rPr>
          <w:rFonts w:ascii="Arial" w:cs="Arial" w:eastAsia="Arial" w:hAnsi="Arial"/>
          <w:sz w:val="18"/>
          <w:szCs w:val="18"/>
          <w:color w:val="auto"/>
        </w:rPr>
        <w:t>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federally funded healthcare benefits, items, or services.</w:t>
      </w:r>
    </w:p>
    <w:p>
      <w:pPr>
        <w:spacing w:after="0" w:line="210" w:lineRule="exact"/>
        <w:rPr>
          <w:rFonts w:ascii="Arial" w:cs="Arial" w:eastAsia="Arial" w:hAnsi="Arial"/>
          <w:sz w:val="18"/>
          <w:szCs w:val="18"/>
          <w:color w:val="auto"/>
        </w:rPr>
      </w:pPr>
    </w:p>
    <w:p>
      <w:pPr>
        <w:ind w:left="540" w:hanging="532"/>
        <w:spacing w:after="0" w:line="298" w:lineRule="auto"/>
        <w:tabs>
          <w:tab w:leader="none" w:pos="540"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HIPAA Criminal Federal Health Care Fraud Statute</w:t>
      </w:r>
      <w:r>
        <w:rPr>
          <w:rFonts w:ascii="Arial" w:cs="Arial" w:eastAsia="Arial" w:hAnsi="Arial"/>
          <w:sz w:val="16"/>
          <w:szCs w:val="16"/>
          <w:color w:val="auto"/>
        </w:rPr>
        <w:t>—Enacted as part of the Health Insurance Portability and Accountability Act of 1996, makes</w:t>
      </w:r>
      <w:r>
        <w:rPr>
          <w:rFonts w:ascii="Arial" w:cs="Arial" w:eastAsia="Arial" w:hAnsi="Arial"/>
          <w:sz w:val="16"/>
          <w:szCs w:val="16"/>
          <w:i w:val="1"/>
          <w:iCs w:val="1"/>
          <w:color w:val="auto"/>
        </w:rPr>
        <w:t xml:space="preserve"> </w:t>
      </w:r>
      <w:r>
        <w:rPr>
          <w:rFonts w:ascii="Arial" w:cs="Arial" w:eastAsia="Arial" w:hAnsi="Arial"/>
          <w:sz w:val="16"/>
          <w:szCs w:val="16"/>
          <w:color w:val="auto"/>
        </w:rPr>
        <w:t>it a crime to knowingly and willfully falsify, conceal, 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federally funded healthcare benefits, items, or services.</w:t>
      </w:r>
    </w:p>
    <w:p>
      <w:pPr>
        <w:spacing w:after="0" w:line="180" w:lineRule="exact"/>
        <w:rPr>
          <w:rFonts w:ascii="Arial" w:cs="Arial" w:eastAsia="Arial" w:hAnsi="Arial"/>
          <w:sz w:val="16"/>
          <w:szCs w:val="16"/>
          <w:color w:val="auto"/>
        </w:rPr>
      </w:pPr>
    </w:p>
    <w:p>
      <w:pPr>
        <w:ind w:left="540" w:right="100" w:hanging="532"/>
        <w:spacing w:after="0" w:line="283" w:lineRule="auto"/>
        <w:tabs>
          <w:tab w:leader="none" w:pos="540"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The Federal Civil Monetary Penalties Law</w:t>
      </w:r>
      <w:r>
        <w:rPr>
          <w:rFonts w:ascii="Arial" w:cs="Arial" w:eastAsia="Arial" w:hAnsi="Arial"/>
          <w:sz w:val="16"/>
          <w:szCs w:val="16"/>
          <w:color w:val="auto"/>
        </w:rPr>
        <w:t>—Authorizes the imposition of substantial civil monetary penalties against an entity, such as a</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 manufacturer,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healthcare programs to provide items or services reimbursable by a federal healthcare program;</w:t>
      </w:r>
    </w:p>
    <w:p>
      <w:pPr>
        <w:spacing w:after="0" w:line="2"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(3) violations of the federal Anti-Kickback Statute; or (4) failing to report and return a known overpayment.</w:t>
      </w:r>
    </w:p>
    <w:p>
      <w:pPr>
        <w:spacing w:after="0" w:line="245" w:lineRule="exact"/>
        <w:rPr>
          <w:rFonts w:ascii="Arial" w:cs="Arial" w:eastAsia="Arial" w:hAnsi="Arial"/>
          <w:sz w:val="16"/>
          <w:szCs w:val="16"/>
          <w:color w:val="auto"/>
        </w:rPr>
      </w:pPr>
    </w:p>
    <w:p>
      <w:pPr>
        <w:ind w:left="540" w:right="20" w:hanging="532"/>
        <w:spacing w:after="0" w:line="298" w:lineRule="auto"/>
        <w:tabs>
          <w:tab w:leader="none" w:pos="540"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HIPAA Health Information Privacy and Security</w:t>
      </w:r>
      <w:r>
        <w:rPr>
          <w:rFonts w:ascii="Arial" w:cs="Arial" w:eastAsia="Arial" w:hAnsi="Arial"/>
          <w:sz w:val="16"/>
          <w:szCs w:val="16"/>
          <w:color w:val="auto"/>
        </w:rPr>
        <w:t>—HIPAA imposes privacy, security, and breach reporting obligations on certain covered entity</w:t>
      </w:r>
      <w:r>
        <w:rPr>
          <w:rFonts w:ascii="Arial" w:cs="Arial" w:eastAsia="Arial" w:hAnsi="Arial"/>
          <w:sz w:val="16"/>
          <w:szCs w:val="16"/>
          <w:i w:val="1"/>
          <w:iCs w:val="1"/>
          <w:color w:val="auto"/>
        </w:rPr>
        <w:t xml:space="preserve"> </w:t>
      </w:r>
      <w:r>
        <w:rPr>
          <w:rFonts w:ascii="Arial" w:cs="Arial" w:eastAsia="Arial" w:hAnsi="Arial"/>
          <w:sz w:val="16"/>
          <w:szCs w:val="16"/>
          <w:color w:val="auto"/>
        </w:rPr>
        <w:t>healthcare providers, health plans, and healthcare clearinghouse as well as their business associates that perform certain services involving the use or disclosure of individually identifiable health information, including, among other requirements, mandatory contractual terms and technical safeguards to protect the privacy, security and transmission of individually identifiable health information, and require notification</w:t>
      </w:r>
    </w:p>
    <w:p>
      <w:pPr>
        <w:spacing w:after="0" w:line="16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780" w:top="144" w:right="279" w:bottom="1440" w:gutter="0" w:footer="0" w:header="0"/>
        </w:sectPr>
      </w:pPr>
    </w:p>
    <w:bookmarkStart w:id="152" w:name="page153"/>
    <w:bookmarkEnd w:id="152"/>
    <w:p>
      <w:pPr>
        <w:ind w:left="1080" w:right="60"/>
        <w:spacing w:after="0" w:line="298" w:lineRule="auto"/>
        <w:rPr>
          <w:sz w:val="20"/>
          <w:szCs w:val="20"/>
          <w:color w:val="auto"/>
        </w:rPr>
      </w:pPr>
      <w:r>
        <w:rPr>
          <w:rFonts w:ascii="Arial" w:cs="Arial" w:eastAsia="Arial" w:hAnsi="Arial"/>
          <w:sz w:val="16"/>
          <w:szCs w:val="16"/>
          <w:color w:val="auto"/>
        </w:rPr>
        <w:t>to affected individuals and regulatory authorities of certain breaches of security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w:t>
      </w:r>
    </w:p>
    <w:p>
      <w:pPr>
        <w:spacing w:after="0" w:line="180" w:lineRule="exact"/>
        <w:rPr>
          <w:sz w:val="20"/>
          <w:szCs w:val="20"/>
          <w:color w:val="auto"/>
        </w:rPr>
      </w:pPr>
    </w:p>
    <w:p>
      <w:pPr>
        <w:ind w:left="1080" w:hanging="532"/>
        <w:spacing w:after="0" w:line="254"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The Federal Physician Payments Sunshine Act</w:t>
      </w:r>
      <w:r>
        <w:rPr>
          <w:rFonts w:ascii="Arial" w:cs="Arial" w:eastAsia="Arial" w:hAnsi="Arial"/>
          <w:sz w:val="18"/>
          <w:szCs w:val="18"/>
          <w:color w:val="auto"/>
        </w:rPr>
        <w:t>—Requires "applicable manufacturers" of drugs, devices, biologics, and medical supplies for which</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is available under Medicare, Medicaid or the State Children's Health Insurance Program, among others, to track and report annually to the federal government (for disclosure to the public) certain payments and other transfers of value they make to "covered recipients." The term covered recipients includes physicians, teaching hospitals, and, for reports submitted on or after January 1, 2022, physician assistants, nurse practitioners, clinical nurse specialists, certified nurse anesthetists, and certified nurse midwives. Failure to submit required information may result in civil monetary penalties.</w:t>
      </w:r>
    </w:p>
    <w:p>
      <w:pPr>
        <w:spacing w:after="0" w:line="225"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The Federal Food, Drug and Cosmetic Act</w:t>
      </w:r>
      <w:r>
        <w:rPr>
          <w:rFonts w:ascii="Arial" w:cs="Arial" w:eastAsia="Arial" w:hAnsi="Arial"/>
          <w:sz w:val="18"/>
          <w:szCs w:val="18"/>
          <w:color w:val="auto"/>
        </w:rPr>
        <w:t>—A set of laws, which prohibits, among other things, the adulteration or misbranding of drugs,</w:t>
      </w:r>
      <w:r>
        <w:rPr>
          <w:rFonts w:ascii="Arial" w:cs="Arial" w:eastAsia="Arial" w:hAnsi="Arial"/>
          <w:sz w:val="18"/>
          <w:szCs w:val="18"/>
          <w:i w:val="1"/>
          <w:iCs w:val="1"/>
          <w:color w:val="auto"/>
        </w:rPr>
        <w:t xml:space="preserve"> </w:t>
      </w:r>
      <w:r>
        <w:rPr>
          <w:rFonts w:ascii="Arial" w:cs="Arial" w:eastAsia="Arial" w:hAnsi="Arial"/>
          <w:sz w:val="18"/>
          <w:szCs w:val="18"/>
          <w:color w:val="auto"/>
        </w:rPr>
        <w:t>biologics and medical devices.</w:t>
      </w:r>
    </w:p>
    <w:p>
      <w:pPr>
        <w:spacing w:after="0" w:line="199" w:lineRule="exact"/>
        <w:rPr>
          <w:rFonts w:ascii="Arial" w:cs="Arial" w:eastAsia="Arial" w:hAnsi="Arial"/>
          <w:sz w:val="18"/>
          <w:szCs w:val="18"/>
          <w:color w:val="auto"/>
        </w:rPr>
      </w:pPr>
    </w:p>
    <w:p>
      <w:pPr>
        <w:ind w:left="1080" w:right="60" w:hanging="532"/>
        <w:spacing w:after="0" w:line="291" w:lineRule="auto"/>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Analogous State and Foreign Laws</w:t>
      </w:r>
      <w:r>
        <w:rPr>
          <w:rFonts w:ascii="Arial" w:cs="Arial" w:eastAsia="Arial" w:hAnsi="Arial"/>
          <w:sz w:val="16"/>
          <w:szCs w:val="16"/>
          <w:color w:val="auto"/>
        </w:rPr>
        <w:t>—There are state and foreign law equivalents of the above federal laws, such as the Anti-Kickback Statute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False Claims Act, which may apply to items or services reimbursed by any third-party payor, including commercial insurers (i.e., so-called "all-payor anti-kickback laws"), as well as state and foreign laws that govern the privacy and security of health information or personally identifiable information in certain circumstances, including state health information privacy and data breach notification laws which govern the collection, use, disclosure, and protection of health-related and other personal information, many of which differ from each other in significant ways and, with respect to state laws, are often not pre-empted by HIPAA, thus requiring additional compliance efforts.</w:t>
      </w:r>
    </w:p>
    <w:p>
      <w:pPr>
        <w:spacing w:after="0" w:line="187" w:lineRule="exact"/>
        <w:rPr>
          <w:rFonts w:ascii="Arial" w:cs="Arial" w:eastAsia="Arial" w:hAnsi="Arial"/>
          <w:sz w:val="16"/>
          <w:szCs w:val="16"/>
          <w:color w:val="auto"/>
        </w:rPr>
      </w:pPr>
    </w:p>
    <w:p>
      <w:pPr>
        <w:ind w:left="1080" w:hanging="532"/>
        <w:spacing w:after="0" w:line="286" w:lineRule="auto"/>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State and Foreign Laws Regulating Pharmaceutical Manufacturer Compliance Programs and Other Practices</w:t>
      </w:r>
      <w:r>
        <w:rPr>
          <w:rFonts w:ascii="Arial" w:cs="Arial" w:eastAsia="Arial" w:hAnsi="Arial"/>
          <w:sz w:val="16"/>
          <w:szCs w:val="16"/>
          <w:color w:val="auto"/>
        </w:rPr>
        <w:t>—Some state and foreign laws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 pharmaceutical companies to implement compliance programs, comply with the pharmaceutical industry's voluntary compliance guidelines and the relevant compliance guidance promulgated by the federal government, or to track and report gifts, compensation, or other remuneration to physicians and other healthcare providers. Several U.S. states and localities have enacted legislation requiring pharmaceutical companies to establish marketing compliance programs, file periodic reports, and/or make periodic public disclosures on sales, marketing, pricing, clinical trials, and other activities. Other state laws prohibit certain marketing-related activities including the provision of gifts, meals or other items to certain healthcare providers, and restrict the ability of manufacturers to offer co-pay support to patients for certain prescription drugs. In addition, several recently passed state laws require disclosures related to state agencies and/or commercial purchasers with respect to certain price increases that exceed a certain level as identified in the relevant statutes. Some of these laws and regulations contain ambiguous requirements that government officials have not yet clarified. Given the lack of clarity in the laws and their implementation, our reporting actions could be subject to the penalty provisions of the pertinent federal and state laws and regulations.</w:t>
      </w:r>
    </w:p>
    <w:p>
      <w:pPr>
        <w:spacing w:after="0" w:line="181"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expect that one or more of our products, if approved, may be eligible for coverage under Medicare, the federal health care program that provides health care benefits to the aged and disabled, and covers outpatient services and supplies, including certain drug products, that are medically necessary to treat a beneficiary's health condition. In addition, one or more of our products, if approved, may be covered and reimbursed under other federal health care programs, such as Medicaid and the 340B Drug Pricing Program. The Medicaid Drug Rebate Program requires pharmaceutical manufacturers to enter into and have in effect a national rebate agreement with the Secretary of the Department of Health and Human Services as a condition for states to receive federal matching funds for the manufacturer's outpatient drugs furnished to Medicaid patients. Under the 340B Drug Pricing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3" w:name="page154"/>
    <w:bookmarkEnd w:id="153"/>
    <w:p>
      <w:pPr>
        <w:ind w:right="220"/>
        <w:spacing w:after="0" w:line="259" w:lineRule="auto"/>
        <w:rPr>
          <w:sz w:val="20"/>
          <w:szCs w:val="20"/>
          <w:color w:val="auto"/>
        </w:rPr>
      </w:pPr>
      <w:r>
        <w:rPr>
          <w:rFonts w:ascii="Arial" w:cs="Arial" w:eastAsia="Arial" w:hAnsi="Arial"/>
          <w:sz w:val="18"/>
          <w:szCs w:val="18"/>
          <w:color w:val="auto"/>
        </w:rPr>
        <w:t>Program, the manufacturer must extend discounts to entities that participate in the program. As part of the requirements to participate in these government programs, many pharmaceutical manufacturers must calculate and report certain price reporting metrics to the government, such as average manufacturer price and best price.</w:t>
      </w:r>
    </w:p>
    <w:p>
      <w:pPr>
        <w:spacing w:after="0" w:line="19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guidance, case law or other applicable law. If our operations are found to be in violation of any of these laws or any other governmental regulations that may apply to us, we may be subject to significant civil, criminal and administrative penalties, damages, fines, individual imprisonment, exclusion from participation in federal health care programs, such as Medicare and Medicaid, disgorgement, reputational harm, additional oversight and reporting obligations pursuant to a corporate integrity agreement or similar agreement to resolve allegations of non-compliance with applicable laws and regulations, and the curtailment or restructuring of our operations, any of which could adversely affect our ability to market our products, if approved, and adversely impact our financial results. Although effective compliance programs can mitigate the risk of investigation and prosecution for violations of these laws and regulations,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not to be in compliance with applicable laws, it may be costly to us in terms of money, time and resources, and they may be subject to criminal, civil or administrative sanctions, including exclusions from government-funded healthcare programs.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the United States and some foreign jurisdictions, there have been and continue to be a number of legislative and regulatory changes and proposed changes regarding the healthcare system that could prevent or delay marketing approval of our product candidates, restrict or regulate post-approval activities and affect our ability, or the ability of our future collaborators, to profitably sell any drugs for which we, or they, obtain marketing approval. We expect that current laws, as well as other healthcare reform measures that may be adopted in the future, may result in more rigorous coverage criteria and additional downward pressure on the price that we, or our future collaborators, may receive for any approved drugs. For example, the PPACA has substantially changed healthcare financing and delivery by both governmental and private insurers. Among the PPACA provisions of importance to the pharmaceutical industry, in addition to those otherwise described above, are the following:</w:t>
      </w:r>
    </w:p>
    <w:p>
      <w:pPr>
        <w:spacing w:after="0" w:line="186" w:lineRule="exact"/>
        <w:rPr>
          <w:sz w:val="20"/>
          <w:szCs w:val="20"/>
          <w:color w:val="auto"/>
        </w:rPr>
      </w:pPr>
    </w:p>
    <w:p>
      <w:pPr>
        <w:ind w:left="1080" w:right="32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federal programs identified in the PPACA;</w:t>
      </w:r>
    </w:p>
    <w:p>
      <w:pPr>
        <w:spacing w:after="0" w:line="212" w:lineRule="exact"/>
        <w:rPr>
          <w:rFonts w:ascii="Arial" w:cs="Arial" w:eastAsia="Arial" w:hAnsi="Arial"/>
          <w:sz w:val="18"/>
          <w:szCs w:val="18"/>
          <w:color w:val="auto"/>
        </w:rPr>
      </w:pPr>
    </w:p>
    <w:p>
      <w:pPr>
        <w:ind w:left="1080" w:right="200" w:hanging="532"/>
        <w:spacing w:after="0" w:line="332"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expansion of beneficiary eligibility criteria for Medicaid programs by, among other things, allowing states to offer Medicaid coverage to certain individuals with income at or below 133% of the federal poverty level, thereby potentially increasing manufacturers' Medicaid rebate liability;</w:t>
      </w:r>
    </w:p>
    <w:p>
      <w:pPr>
        <w:spacing w:after="0" w:line="152" w:lineRule="exact"/>
        <w:rPr>
          <w:rFonts w:ascii="Arial" w:cs="Arial" w:eastAsia="Arial" w:hAnsi="Arial"/>
          <w:sz w:val="16"/>
          <w:szCs w:val="16"/>
          <w:color w:val="auto"/>
        </w:rPr>
      </w:pPr>
    </w:p>
    <w:p>
      <w:pPr>
        <w:ind w:left="1080" w:right="320" w:hanging="532"/>
        <w:spacing w:after="0" w:line="259"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expansion of manufacturers' rebate liability under the Medicaid Drug Rebate Program by increasing the minimum rebate for both branded and generic drugs and revising the definition of "average manufacturer price" for calculating and reporting Medicaid drug rebates on outpatient prescription drug prices;</w:t>
      </w:r>
    </w:p>
    <w:p>
      <w:pPr>
        <w:spacing w:after="0" w:line="207"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4" w:name="page155"/>
    <w:bookmarkEnd w:id="154"/>
    <w:p>
      <w:pPr>
        <w:ind w:left="1080" w:right="14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expansion of the types of entities eligible for the 340B drug discount program;</w:t>
      </w:r>
    </w:p>
    <w:p>
      <w:pPr>
        <w:spacing w:after="0" w:line="238"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establishment of the Medicare Part D coverage gap discount program by requiring manufacturers to provide a 50% point-of-sale-discount, which increased to 70% starting in 2019, off the negotiated price of applicable brand drugs to eligible beneficiaries during their coverage gap period as a condition for the manufacturers' outpatient drugs to be covered under Medicare Part D;</w:t>
      </w:r>
    </w:p>
    <w:p>
      <w:pPr>
        <w:spacing w:after="0" w:line="207" w:lineRule="exact"/>
        <w:rPr>
          <w:rFonts w:ascii="Arial" w:cs="Arial" w:eastAsia="Arial" w:hAnsi="Arial"/>
          <w:sz w:val="18"/>
          <w:szCs w:val="18"/>
          <w:color w:val="auto"/>
        </w:rPr>
      </w:pPr>
    </w:p>
    <w:p>
      <w:pPr>
        <w:ind w:left="1080" w:right="440" w:hanging="532"/>
        <w:spacing w:after="0" w:line="332" w:lineRule="auto"/>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establishment of the Center for Medicare and Medicaid Innovation within the Centers for Medicare and Medicaid Services to test innovative payment and service delivery models to lower Medicare and Medicaid spending, potentially including prescription drug spending;</w:t>
      </w:r>
    </w:p>
    <w:p>
      <w:pPr>
        <w:spacing w:after="0" w:line="166" w:lineRule="exact"/>
        <w:rPr>
          <w:rFonts w:ascii="Arial" w:cs="Arial" w:eastAsia="Arial" w:hAnsi="Arial"/>
          <w:sz w:val="16"/>
          <w:szCs w:val="16"/>
          <w:color w:val="auto"/>
        </w:rPr>
      </w:pPr>
    </w:p>
    <w:p>
      <w:pPr>
        <w:ind w:left="1080" w:right="32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reporting of certain financial arrangements between manufacturers of drugs, biologics, devices, and medical supplies and physicians and teaching hospitals under the Physician Payments Sunshine Act;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annual reporting of certain information regarding drug samples that manufacturers and distributors provide to licensed practitioners.</w:t>
      </w:r>
    </w:p>
    <w:p>
      <w:pPr>
        <w:spacing w:after="0" w:line="248" w:lineRule="exact"/>
        <w:rPr>
          <w:sz w:val="20"/>
          <w:szCs w:val="20"/>
          <w:color w:val="auto"/>
        </w:rPr>
      </w:pPr>
    </w:p>
    <w:p>
      <w:pPr>
        <w:ind w:right="60" w:firstLine="348"/>
        <w:spacing w:after="0" w:line="252" w:lineRule="auto"/>
        <w:rPr>
          <w:sz w:val="20"/>
          <w:szCs w:val="20"/>
          <w:color w:val="auto"/>
        </w:rPr>
      </w:pPr>
      <w:r>
        <w:rPr>
          <w:rFonts w:ascii="Arial" w:cs="Arial" w:eastAsia="Arial" w:hAnsi="Arial"/>
          <w:sz w:val="18"/>
          <w:szCs w:val="18"/>
          <w:color w:val="auto"/>
        </w:rPr>
        <w:t>There have been judicial and Congressional challenges to the PPACA, as well as efforts by the Trump administration to repeal or replace certain aspects of the PPACA that contribute to regulatory uncertainty that could affect the profitability of our products. Since January 2017, President Trump has signed several Executive Orders and other directives designed to delay the implementation of certain provisions of the PPACA or otherwise circumvent some of the requirements mandated by the PPACA. In December 2018, a federal district court in Texas ruled the individual mandate was unconstitutional and could not be severed from the PPACA. As a result, the court ruled the remaining provisions of the PPACA were also invalid, though the court declined to issue a preliminary injunction with respect to the PPACA. In April 2019, in a brief filed in the Fifth Circuit Court of Appeals, the Trump Administration took the position that the individual mandate was unconstitutional, that it could not be severed from the PPACA, and, as a result, the PPACA must be invalidated in its entirety. The case is pending before the Fifth Circuit, and it remains unclear whether, and to what extent, the PPACA may be affected by the Fifth Circuit's and possibly other courts' rulings.</w:t>
      </w:r>
    </w:p>
    <w:p>
      <w:pPr>
        <w:spacing w:after="0" w:line="20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While Congress has not enacted legislation to comprehensively repeal the PPACA, at least two bills affecting the implementation of the PPACA have been signed into law, including the repeal, effective January 1, 2019, of the tax-based shared responsibility payment imposed by the PPACA on certain individuals who fail to maintain qualifying health coverage for all or part of a year, which is commonly referred to as the "individual mandate." Additionally, on January 22, 2018, President Trump signed a continuing resolution on appropriations for fiscal year 2018 that delayed the implementation of certain fees mandated by the PPACA, including the so-called "Cadillac" tax on certain high-cost employer-sponsored health insurance plans, the annual fee imposed on certain health insurance providers, and the medical device excise tax on non-exempt medical devices. Moreover, effective January 1, 2019, the Bipartisan Budget Act of 2018, among other things, further amends portions of the Social Security Act implemented as part of the PPACA to increase from 50% to 70% the point-of-sale discount that pharmaceutical manufacturers participating in the Coverage Gap Discount Program provide to eligible Medicare Part D beneficiaries during the coverage gap phase of the Part D benefit, commonly referred to as the "donut hole," and to reduce standard beneficiary cost sharing in the coverage gap from 30% to 25% in most Medicare Part D plans. In the future, there may be additional challenges and/or amendments to the PPACA. It remains to be seen precisely what any new legislation will provide, when or if it will be enacted, and what impact it will have on the availability and cost of healthcare items and services, including drug products.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155" w:name="page156"/>
    <w:bookmarkEnd w:id="155"/>
    <w:p>
      <w:pPr>
        <w:ind w:firstLine="351"/>
        <w:spacing w:after="0" w:line="286" w:lineRule="auto"/>
        <w:rPr>
          <w:sz w:val="20"/>
          <w:szCs w:val="20"/>
          <w:color w:val="auto"/>
        </w:rPr>
      </w:pPr>
      <w:r>
        <w:rPr>
          <w:rFonts w:ascii="Arial" w:cs="Arial" w:eastAsia="Arial" w:hAnsi="Arial"/>
          <w:sz w:val="16"/>
          <w:szCs w:val="16"/>
          <w:color w:val="auto"/>
        </w:rPr>
        <w:t>More recently, the cost of prescription pharmaceuticals has been the subject of considerable discussion in the United States. Congress has begun developing legislation and the Trump Administration has proposed and begun implementing regulatory reforms to further increase transparency around prices and price increases, lower out-of-pocket costs for consumers, and decrease spending on prescription drugs by government programs. Congress has conducted or is in the process of conducting inquiries into the prescription drug industry's pricing practices. The Trump Administration's budget proposal for fiscal year 2019 contained additional drug price control measures that could be enacted in future legislation, including, for example, measures to end Medicare Part B coverage of medications and to shift those medication costs to Medicare Part D, to allow some states to negotiate prescription drug prices under Medicaid and to eliminate cost sharing for generic drugs for low-income patients. While several proposed reform measures will require Congress to pass legislation to become effective, Congress and the Trump Administration have each indicated that it will continue to seek new legislative and/or regulatory measures to address prescription drug costs. At the state level, legislatures are increasingly passing legislation and states are implementing regulations designed to control spending on and patient out-of-pocket costs for drug products. Implementation of cost containment measures or other healthcare reforms that affect the pricing and/or availability of drug products may impact our ability to generate revenue, attain or maintain profitability, or commercialize products for which we may receive regulatory approval in the future.</w:t>
      </w:r>
    </w:p>
    <w:p>
      <w:pPr>
        <w:spacing w:after="0" w:line="178"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We expect that these and other healthcare reform measures that may be adopted in the future may result in more rigorous coverage criteria and/or new payment methodologies, and place additional downward pressure on the price that we receive for any approved product and/or the level of reimbursement physicians receive for administering any approved product we might bring to market. Reductions in reimbursement levels and imposition of more rigorous coverage criteria or new payment methodologies may negatively impact the prices we receive or the frequency with which our products are prescribed or administered. Any coverage or reimbursement policies instituted by Medicare or other federal health care programs may result in a similar policies from private payors. The implementation of cost containment measures or other healthcare reforms may affect our ability to generate revenue, attain or maintain profitability, or commercialize our drug candidates.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additional pricing pressures.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not currently subject to any legal proceedings.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3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have facilities in Boston, Massachusetts and Stockholm, Sweden. Our Boston facilities consist of office space of approximately 2,295 square feet under an operating lease agreement that expires in 2021. Our Stockholm facilities consist of office and laboratory space of approximately 3,980 square feet under an operating lease agreement that expires in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160" w:firstLine="341"/>
        <w:spacing w:after="0" w:line="298" w:lineRule="auto"/>
        <w:rPr>
          <w:sz w:val="20"/>
          <w:szCs w:val="20"/>
          <w:color w:val="auto"/>
        </w:rPr>
      </w:pPr>
      <w:r>
        <w:rPr>
          <w:rFonts w:ascii="Arial" w:cs="Arial" w:eastAsia="Arial" w:hAnsi="Arial"/>
          <w:sz w:val="16"/>
          <w:szCs w:val="16"/>
          <w:color w:val="auto"/>
        </w:rPr>
        <w:t>As of September 26, 2019, we had 14 full-time employees. Of the workforce, 9 employees are directly engaged in research and development with the rest providing administrative, business and operations support. We are not bound by any collective bargaining agreements. We consider the relationship with our employees to be good. We also use outside consultants and contractors with unique expertise and skills for limited engagements. As of September 26, 2019, we utilized multiple outside consultants or contractors that represented approximately 4 full-time equivalents to supplement our full-time workforce.</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56" w:name="page157"/>
    <w:bookmarkEnd w:id="156"/>
    <w:p>
      <w:pPr>
        <w:jc w:val="center"/>
        <w:ind w:right="40"/>
        <w:spacing w:after="0"/>
        <w:rPr>
          <w:sz w:val="20"/>
          <w:szCs w:val="20"/>
          <w:color w:val="auto"/>
        </w:rPr>
      </w:pPr>
      <w:r>
        <w:rPr>
          <w:rFonts w:ascii="Arial" w:cs="Arial" w:eastAsia="Arial" w:hAnsi="Arial"/>
          <w:sz w:val="18"/>
          <w:szCs w:val="18"/>
          <w:b w:val="1"/>
          <w:bCs w:val="1"/>
          <w:color w:val="auto"/>
        </w:rPr>
        <w:t>Management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name, age as of September 26, 2019 and position of each of our executive officers and directors.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8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160" w:type="dxa"/>
            <w:vAlign w:val="bottom"/>
          </w:tcPr>
          <w:p>
            <w:pPr>
              <w:spacing w:after="0"/>
              <w:rPr>
                <w:sz w:val="14"/>
                <w:szCs w:val="14"/>
                <w:color w:val="auto"/>
              </w:rPr>
            </w:pPr>
          </w:p>
        </w:tc>
        <w:tc>
          <w:tcPr>
            <w:tcW w:w="3920" w:type="dxa"/>
            <w:vAlign w:val="bottom"/>
          </w:tcPr>
          <w:p>
            <w:pPr>
              <w:ind w:left="17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Christian S. Schade</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w w:val="96"/>
              </w:rPr>
              <w:t>President and Chief Executive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M. Coiante</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Senior Vice President, 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Eyal C. Attar, M.D.</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Senior Vice President, Chief Medical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Lars Abrahmsen, Ph.D.</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Senior Vice President, Chief Scientific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Gregory A. Korbel, Ph.D.</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Vice President of Business Development</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Non-Employee Directors</w:t>
            </w:r>
          </w:p>
        </w:tc>
        <w:tc>
          <w:tcPr>
            <w:tcW w:w="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Scott M. Rocklage, Ph.D.</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Guido Magni, M.D., Ph.D.</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Johan Christenson, M.D., Ph.D.</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Hepple, Ph.D.</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Bernd R. Seizinger, M.D., Ph.D.</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B. Henneman, III</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31" w:lineRule="exact"/>
        <w:rPr>
          <w:sz w:val="20"/>
          <w:szCs w:val="20"/>
          <w:color w:val="auto"/>
        </w:rPr>
      </w:pPr>
    </w:p>
    <w:p>
      <w:pPr>
        <w:ind w:right="80" w:firstLine="351"/>
        <w:spacing w:after="0" w:line="283" w:lineRule="auto"/>
        <w:rPr>
          <w:sz w:val="20"/>
          <w:szCs w:val="20"/>
          <w:color w:val="auto"/>
        </w:rPr>
      </w:pPr>
      <w:r>
        <w:rPr>
          <w:rFonts w:ascii="Arial" w:cs="Arial" w:eastAsia="Arial" w:hAnsi="Arial"/>
          <w:sz w:val="16"/>
          <w:szCs w:val="16"/>
          <w:b w:val="1"/>
          <w:bCs w:val="1"/>
          <w:i w:val="1"/>
          <w:iCs w:val="1"/>
          <w:color w:val="auto"/>
        </w:rPr>
        <w:t xml:space="preserve">Christian S. Schade </w:t>
      </w:r>
      <w:r>
        <w:rPr>
          <w:rFonts w:ascii="Arial" w:cs="Arial" w:eastAsia="Arial" w:hAnsi="Arial"/>
          <w:sz w:val="16"/>
          <w:szCs w:val="16"/>
          <w:color w:val="auto"/>
        </w:rPr>
        <w:t>has served as our President and Chief Executive Officer and as a member of our board of directors since June 2016. Mr. Schade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more than 30 years of private and public pharmaceutical and biotechnology industry experience, as well as broad corporate finance expertise from his tenure in the investment banking industry. Prior to joining Aprea Therapeutics, he was Chief Executive Officer of Novira Therapeutics, which was acquired in December 2015 by Johnson &amp; Johnson in an all-cash transaction. Prior to joining Novira, Mr. Schade was Executive Vice President and Chief Financial Officer at Omthera, a NASDAQ-listed specialty pharmaceuticals company focused on the development and commercialization of new therapies for dyslipidemia. At Omthera,</w:t>
      </w:r>
    </w:p>
    <w:p>
      <w:pPr>
        <w:spacing w:after="0" w:line="2"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Mr. Schade was responsible for all corporate finance, accounting and business development activities, and led the sale of Omthera in July 2013 to AstraZeneca. He also was Executive Vice President and Chief Financial Officer at NYSE-listed NRG Energy, and from 2000 to 2009, he was Senior Vice President of Administration and Chief Financial Officer at Medarex, a biopharmaceutical company focused on antibody-based therapeutic products for oncology, inflammation, autoimmune disorders and infectious diseases. Mr. Schade played a pivotal role in the acquisition of Medarex by Bristol-Myers Squibb, leading the negotiations for the sale and the eventual merger-integration process of the research, development and administrative functions. Before joining Medarex,</w:t>
      </w:r>
    </w:p>
    <w:p>
      <w:pPr>
        <w:spacing w:after="0" w:line="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Mr. Schade served as Managing Director at Merrill Lynch in London and held various corporate finance and capital markets positions in New York and London for both Merrill Lynch and JP Morgan Chase &amp; Co. Mr. Schade currently serves on the board of directors of Integra Life Sciences Inc. and has previously served on the board of directors of Indivior PLC. Mr. Schade received an M.B.A. from the Wharton School at the University of Pennsylvania and an A.B. from Princeton University.</w:t>
      </w:r>
    </w:p>
    <w:p>
      <w:pPr>
        <w:spacing w:after="0" w:line="198" w:lineRule="exact"/>
        <w:rPr>
          <w:sz w:val="20"/>
          <w:szCs w:val="20"/>
          <w:color w:val="auto"/>
        </w:rPr>
      </w:pPr>
    </w:p>
    <w:p>
      <w:pPr>
        <w:jc w:val="both"/>
        <w:ind w:firstLine="348"/>
        <w:spacing w:after="0" w:line="268" w:lineRule="auto"/>
        <w:rPr>
          <w:sz w:val="20"/>
          <w:szCs w:val="20"/>
          <w:color w:val="auto"/>
        </w:rPr>
      </w:pPr>
      <w:r>
        <w:rPr>
          <w:rFonts w:ascii="Arial" w:cs="Arial" w:eastAsia="Arial" w:hAnsi="Arial"/>
          <w:sz w:val="18"/>
          <w:szCs w:val="18"/>
          <w:color w:val="auto"/>
        </w:rPr>
        <w:t>We believe Mr. Schade is qualified to serve as our President and Chief Executive Officer and on our board of directors because of his extensive experience in leadership and management roles at various life sciences companies.</w:t>
      </w:r>
    </w:p>
    <w:p>
      <w:pPr>
        <w:spacing w:after="0" w:line="186"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Scott M. Coiante </w:t>
      </w:r>
      <w:r>
        <w:rPr>
          <w:rFonts w:ascii="Arial" w:cs="Arial" w:eastAsia="Arial" w:hAnsi="Arial"/>
          <w:sz w:val="18"/>
          <w:szCs w:val="18"/>
          <w:color w:val="auto"/>
        </w:rPr>
        <w:t>has served as our Senior Vice President, Chief Financial Officer since August 2019. Mr. Coiante joined Aprea from Agile Therapeutics,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Agile, where he was Senior Vice President and Chief Financial Officer. Having served at Agile since 2010, he played a leadership role in the company and in the development of the internal finance and accounting infrastructure. Prior to joining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7" w:name="page158"/>
    <w:bookmarkEnd w:id="157"/>
    <w:p>
      <w:pPr>
        <w:jc w:val="both"/>
        <w:ind w:right="160"/>
        <w:spacing w:after="0" w:line="259" w:lineRule="auto"/>
        <w:rPr>
          <w:sz w:val="20"/>
          <w:szCs w:val="20"/>
          <w:color w:val="auto"/>
        </w:rPr>
      </w:pPr>
      <w:r>
        <w:rPr>
          <w:rFonts w:ascii="Arial" w:cs="Arial" w:eastAsia="Arial" w:hAnsi="Arial"/>
          <w:sz w:val="18"/>
          <w:szCs w:val="18"/>
          <w:color w:val="auto"/>
        </w:rPr>
        <w:t>Agile, he was from 2002 Vice President of Finance and Treasurer at Medarex, Inc., formerly a NASDAQ listed biotech company that was acquired in 2009 by Bristol Myers Squibb. From 1989 to 2002, Mr. Coiante held management positions of increasing responsibilities at Ernst &amp; Young LLP. Mr. Coiante received a B.S. in Accounting from Villanova University.</w:t>
      </w:r>
    </w:p>
    <w:p>
      <w:pPr>
        <w:spacing w:after="0" w:line="194" w:lineRule="exact"/>
        <w:rPr>
          <w:sz w:val="20"/>
          <w:szCs w:val="20"/>
          <w:color w:val="auto"/>
        </w:rPr>
      </w:pPr>
    </w:p>
    <w:p>
      <w:pPr>
        <w:ind w:right="100" w:firstLine="351"/>
        <w:spacing w:after="0" w:line="253" w:lineRule="auto"/>
        <w:rPr>
          <w:sz w:val="20"/>
          <w:szCs w:val="20"/>
          <w:color w:val="auto"/>
        </w:rPr>
      </w:pPr>
      <w:r>
        <w:rPr>
          <w:rFonts w:ascii="Arial" w:cs="Arial" w:eastAsia="Arial" w:hAnsi="Arial"/>
          <w:sz w:val="18"/>
          <w:szCs w:val="18"/>
          <w:b w:val="1"/>
          <w:bCs w:val="1"/>
          <w:i w:val="1"/>
          <w:iCs w:val="1"/>
          <w:color w:val="auto"/>
        </w:rPr>
        <w:t xml:space="preserve">Eyal C. Attar, M.D. </w:t>
      </w:r>
      <w:r>
        <w:rPr>
          <w:rFonts w:ascii="Arial" w:cs="Arial" w:eastAsia="Arial" w:hAnsi="Arial"/>
          <w:sz w:val="18"/>
          <w:szCs w:val="18"/>
          <w:color w:val="auto"/>
        </w:rPr>
        <w:t>has served as our Senior Vice President, Chief Medical Officer since April 2019. Dr. Attar joined Aprea from Agios Pharmaceuticals,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where he was Senior Medical Director and IDH Hematology Medical Lead. Having served at Agios since 2014, Dr. Attar played a leadership role in the clinical development and approval of IDHIFA and TIBSOVO for patients with relapsed/refractory AML. Prior to Agios, he served on the clinical staff at the Massachusetts General Hospital Cancer Center, where Dr. Attar was a member of the Center for Leukemia and Assistant Professor of Medicine at Harvard Medical School. He completed his residency in Internal Medicine at Brigham and Women's Hospital and held fellowships in hematology and oncology in the Dana-Farber Partners Cancer Care Hematology/Oncology Fellowship Program. Dr. Attar received his medical degree from the University of North Carolina School of Medicine.</w:t>
      </w:r>
    </w:p>
    <w:p>
      <w:pPr>
        <w:spacing w:after="0" w:line="201"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b w:val="1"/>
          <w:bCs w:val="1"/>
          <w:i w:val="1"/>
          <w:iCs w:val="1"/>
          <w:color w:val="auto"/>
        </w:rPr>
        <w:t xml:space="preserve">Lars Abrahmsen, Ph.D. </w:t>
      </w:r>
      <w:r>
        <w:rPr>
          <w:rFonts w:ascii="Arial" w:cs="Arial" w:eastAsia="Arial" w:hAnsi="Arial"/>
          <w:sz w:val="16"/>
          <w:szCs w:val="16"/>
          <w:color w:val="auto"/>
        </w:rPr>
        <w:t>has served as our Senior Vice President, Chief Scientific Officer since October 2014. Dr. Abrahmsen has more than 30 years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in research and drug development in the pharmaceutical industry, both with small molecules and biopharmaceuticals. Beginning with postdoctoral work at Genentech, he has also worked at Biovitrum, Pharmacia&amp;Upjohn, Pharmacia and KabiGen. More recently he served as Chief Scientific Officer at Affibody from 2004-2010 and as SVP of Protein Therapeutics at Algeta from 2010-2013. Dr. Abrahmsen has experience from discovery research to preclinical development and has primarily focused on projects within oncology and metabolic diseases. Dr. Abrahmsen received a Ph.D. in Biochemistry and an M.S. in Chemistry, both from the Royal Institute of Technology in Stockholm, Sweden.</w:t>
      </w:r>
    </w:p>
    <w:p>
      <w:pPr>
        <w:spacing w:after="0" w:line="17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b w:val="1"/>
          <w:bCs w:val="1"/>
          <w:i w:val="1"/>
          <w:iCs w:val="1"/>
          <w:color w:val="auto"/>
        </w:rPr>
        <w:t xml:space="preserve">Gregory A. Korbel., Ph.D. </w:t>
      </w:r>
      <w:r>
        <w:rPr>
          <w:rFonts w:ascii="Arial" w:cs="Arial" w:eastAsia="Arial" w:hAnsi="Arial"/>
          <w:sz w:val="16"/>
          <w:szCs w:val="16"/>
          <w:color w:val="auto"/>
        </w:rPr>
        <w:t>has served as our Vice President of Business Development since July 2016. Dr. Korbel has 12 years of experience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biotechnology and pharmaceutical industries. Prior to joining Aprea Therapeutics, he was Director of Business Development and Operations at Novira Therapeutics, which was acquired in December 2015 by Johnson &amp; Johnson, and served as Director of Research Operations subsequent to the acquisition. In addition to consulting for venture capital and biotechnology firms, he formerly served as Senior Scientist at Invtirogen/Life Technologies. Dr. Korbel received an M.B.A. from the Wharton School at the University of Pennsylvania, a Ph.D. in Chemistry from Harvard University and a B.A. from Vanderbilt University.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 xml:space="preserve">Scott M. Rocklage, Ph.D. </w:t>
      </w:r>
      <w:r>
        <w:rPr>
          <w:rFonts w:ascii="Arial" w:cs="Arial" w:eastAsia="Arial" w:hAnsi="Arial"/>
          <w:sz w:val="16"/>
          <w:szCs w:val="16"/>
          <w:color w:val="auto"/>
        </w:rPr>
        <w:t>has served as a member of our board of directors since 2016 and as Chairman of our board of directors since June 2017.</w:t>
      </w:r>
    </w:p>
    <w:p>
      <w:pPr>
        <w:spacing w:after="0" w:line="3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Dr. Rocklage joined 5AM Ventures in 2003 as a Venture Partner, became a Managing Partner in 2004 and transitioned to Founding Partner in 2017. Dr. Rocklage has over three decades of healthcare management experience with strategic leadership responsibilities that led to FDA approval of three U.S. New Drug Applications (Omniscan™, Teslascan® and Cubicin®). He has served as Chairman and CEO of Cubist Pharmaceuticals, President and CEO of Nycomed Salutar and has also held R&amp;D positions at Salutar and Catalytica. Dr. Rocklage formerly served as Board Chairman of Relypsa (acquired by Vifor Pharma) and Novira (acquired by J&amp;J). He currently serves as Board Chairman of Expansion, Kinestral and Cidara (NASDAQ: CDTX) and is a Board member at NodThera and Nouscom. He was formerly Executive Chairman of Ilypsa (acquired by Amgen), Miikana (acquired by EntreMed) and Semprus (acquired by Teleflex).</w:t>
      </w:r>
    </w:p>
    <w:p>
      <w:pPr>
        <w:spacing w:after="0" w:line="4"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Dr. Rocklage received his B.S. in Chemistry from the University of California, Berkeley and his Ph.D. in Chemistry from MIT where he conducted research in the laboratory of Richard R. Schrock (Nobel Prize in Chemistry in 2005). He is an inventor or co-inventor of over 30 U.S. patents and has produced more than 100 peer-reviewed publications.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58" w:name="page159"/>
    <w:bookmarkEnd w:id="158"/>
    <w:p>
      <w:pPr>
        <w:ind w:right="320" w:firstLine="348"/>
        <w:spacing w:after="0" w:line="268" w:lineRule="auto"/>
        <w:rPr>
          <w:sz w:val="20"/>
          <w:szCs w:val="20"/>
          <w:color w:val="auto"/>
        </w:rPr>
      </w:pPr>
      <w:r>
        <w:rPr>
          <w:rFonts w:ascii="Arial" w:cs="Arial" w:eastAsia="Arial" w:hAnsi="Arial"/>
          <w:sz w:val="18"/>
          <w:szCs w:val="18"/>
          <w:color w:val="auto"/>
        </w:rPr>
        <w:t>We believe Dr. Rocklage is qualified to serve on our board of directors because of his extensive leadership and investment experience in the life sciences sector and strong scientific background.</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i w:val="1"/>
          <w:iCs w:val="1"/>
          <w:color w:val="auto"/>
        </w:rPr>
        <w:t xml:space="preserve">Guido Magni, M.D., Ph.D. </w:t>
      </w:r>
      <w:r>
        <w:rPr>
          <w:rFonts w:ascii="Arial" w:cs="Arial" w:eastAsia="Arial" w:hAnsi="Arial"/>
          <w:sz w:val="16"/>
          <w:szCs w:val="16"/>
          <w:color w:val="auto"/>
        </w:rPr>
        <w:t>has served as a member of our board of directors since March 2016. Dr. Magni has served a Partner with Versant Ventures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February 2012. Dr. Magni previously served as a Managing Director of EuroVentures, a Versant incubator, where he was intimately involved in several biotech investments including Synosia (sold to Biotie Therapies), Flexion and Okairos. Dr. Magni was previously the Global Head of the Medical Science Department of Roche Pharmaceuticals in Basel, Switzerland. During his twelve-year term at Roche, Dr. Magni oversaw the development and the registration of a large number of new chemical and biological entities including Cellcept, Pegasys, Mabthera, Xeloda, Herceptin, Tamiflu and Tarceva. Currently, Dr. Magni serves on the Board of Biotie and AM Pharma, with previous board positions at Adolor Corporation and Anabasis Pharma before their recent acquisitions. Dr. Magni was trained at the University of Padua with a specialization in neuro-psychiatry. He is the co-author of over 100 peer-reviewed papers.</w:t>
      </w:r>
    </w:p>
    <w:p>
      <w:pPr>
        <w:spacing w:after="0" w:line="172"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We believe Dr. Magni is qualified to serve on our board of directors because of his management and investment experience in the life sciences sector and medical and scientific background.</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i w:val="1"/>
          <w:iCs w:val="1"/>
          <w:color w:val="auto"/>
        </w:rPr>
        <w:t xml:space="preserve">Johan Christenson, M.D., Ph.D. </w:t>
      </w:r>
      <w:r>
        <w:rPr>
          <w:rFonts w:ascii="Arial" w:cs="Arial" w:eastAsia="Arial" w:hAnsi="Arial"/>
          <w:sz w:val="16"/>
          <w:szCs w:val="16"/>
          <w:color w:val="auto"/>
        </w:rPr>
        <w:t>has served as a member of our board of directors since 2016. Dr. Christenson is a Partner of HealthCap. Prior to joining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HealthCap in 2001, Dr. Christenson was with SEB Företagsinvest (the venture capital arm of SEB) to supervise its health care portfolio. He has senior management experience from Astra Pain Control as Project Director and AstraZeneca as Global Product Director and member of the global therapy area management team of pain and inflammation. Dr. Christenson received his medical training at the Karolinska Institute and received his Ph.D. in basic neuroscience in 1991. He served as a lecturer in neuroscience and also held a position as Assistant Dean at the Karolinska Institute Graduate School for two years. Dr. Christenson has four years of clinical specialist training in paediatrics and paediatric neurology.</w:t>
      </w:r>
    </w:p>
    <w:p>
      <w:pPr>
        <w:spacing w:after="0" w:line="174"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believe Dr. Christenson is qualified to serve on our board of directors because of his management and investment experience in the life sciences sector and medical and scientific background.</w:t>
      </w:r>
    </w:p>
    <w:p>
      <w:pPr>
        <w:spacing w:after="0" w:line="18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b w:val="1"/>
          <w:bCs w:val="1"/>
          <w:i w:val="1"/>
          <w:iCs w:val="1"/>
          <w:color w:val="auto"/>
        </w:rPr>
        <w:t xml:space="preserve">Jonathan Hepple, Ph.D. </w:t>
      </w:r>
      <w:r>
        <w:rPr>
          <w:rFonts w:ascii="Arial" w:cs="Arial" w:eastAsia="Arial" w:hAnsi="Arial"/>
          <w:sz w:val="16"/>
          <w:szCs w:val="16"/>
          <w:color w:val="auto"/>
        </w:rPr>
        <w:t>has served as a member of our board of directors since April 2015. Dr. Hepple is a co-founder of Rosetta Capital Limited, where 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served as a Partner since January 2009. He has more than twenty years investment experience in the life sciences industry. He started his investment career at Rothschilds Asset Management and he was also a partner at Seroba Life Sciences where he was on the boards of Covagen and Opsona. Dr. Hepple has held Board Director and Observer roles in portfolio companies such as Catalyst Biosciences, Glycomimetics, Novimmune, Procertus and Tranzyme. He has served on the board of Clanotech AB since June 2013. He received his Ph.D. from Cambridge University for cancer research.</w:t>
      </w:r>
    </w:p>
    <w:p>
      <w:pPr>
        <w:spacing w:after="0" w:line="170"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believe Dr. Hepple is qualified to serve on our board of directors because of his experience as an investor and board member in the life sciences industry, as well as his scientific background.</w:t>
      </w:r>
    </w:p>
    <w:p>
      <w:pPr>
        <w:spacing w:after="0" w:line="186"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b w:val="1"/>
          <w:bCs w:val="1"/>
          <w:i w:val="1"/>
          <w:iCs w:val="1"/>
          <w:color w:val="auto"/>
        </w:rPr>
        <w:t xml:space="preserve">Bernd R. Seizinger, M.D., Ph.D. </w:t>
      </w:r>
      <w:r>
        <w:rPr>
          <w:rFonts w:ascii="Arial" w:cs="Arial" w:eastAsia="Arial" w:hAnsi="Arial"/>
          <w:sz w:val="16"/>
          <w:szCs w:val="16"/>
          <w:color w:val="auto"/>
        </w:rPr>
        <w:t>has served as a member of our board of directors since 2015. Dr. Seizinger is a board member in a number of companies,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Opsona (Dublin, Ireland), Agennix AG (Princeton, NJ; Houston, TX; Munich, Germany) and TriMod Ltd. (Dublin, Ireland). He is Chairman of Opsona Ltd. And acting Chairman of Trimod Ltd. From 1998 to 2009, Dr. Seizinger was President and Chief Executive Officer of GPC Biotech before it merged with Agennix AG. Prior to his corporate appointments, he was at Massachusetts General Hospital and Harvard Medical School.</w:t>
      </w:r>
    </w:p>
    <w:p>
      <w:pPr>
        <w:spacing w:after="0" w:line="167"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We believe Dr. Seizinger is qualified to serve on our board of directors because of his perspective and experience as a leader and board member in the life sciences industry, as well as his strong medical and scientific background.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9" w:name="page160"/>
    <w:bookmarkEnd w:id="159"/>
    <w:p>
      <w:pPr>
        <w:ind w:firstLine="351"/>
        <w:spacing w:after="0" w:line="282" w:lineRule="auto"/>
        <w:rPr>
          <w:sz w:val="20"/>
          <w:szCs w:val="20"/>
          <w:color w:val="auto"/>
        </w:rPr>
      </w:pPr>
      <w:r>
        <w:rPr>
          <w:rFonts w:ascii="Arial" w:cs="Arial" w:eastAsia="Arial" w:hAnsi="Arial"/>
          <w:sz w:val="16"/>
          <w:szCs w:val="16"/>
          <w:b w:val="1"/>
          <w:bCs w:val="1"/>
          <w:i w:val="1"/>
          <w:iCs w:val="1"/>
          <w:color w:val="auto"/>
        </w:rPr>
        <w:t xml:space="preserve">John B. Henneman III </w:t>
      </w:r>
      <w:r>
        <w:rPr>
          <w:rFonts w:ascii="Arial" w:cs="Arial" w:eastAsia="Arial" w:hAnsi="Arial"/>
          <w:sz w:val="16"/>
          <w:szCs w:val="16"/>
          <w:color w:val="auto"/>
        </w:rPr>
        <w:t>has been a member of our board of directors since August 2019. Mr. Henneman has more than 25 years of combined financial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operational management experience in the life sciences industry. From July 2018 until November 2018, Mr. Henneman served as the Chief Administrative Officer of NewLink Genetics Corporation, a biotechnology company, and prior to that, served as NewLink's Executive Vice President and Chief Financial Officer from October 2014 to July 2018. From 1998 to 2014, Mr. Henneman served at Integra LifeSciences Holdings Corp., a publicly-held medical device company, in various capacities. Before becoming Integra's Chief Financial Officer in 2007, Mr. Henneman was Chief Administrative Officer, responsible for Integra's regulatory affairs, quality systems, clinical affairs, human resources, information systems and legal affairs functions, the management of Integra's surgical instruments business, and Integra's business development function. Mr. Henneman serves on the boards of directors of R1 RCM, Inc., a publicly-held revenue cycle technology and management services company, SeaSpine Holdings Corporation, a publicly-held medical technology company, and Alafair</w:t>
      </w:r>
    </w:p>
    <w:p>
      <w:pPr>
        <w:spacing w:after="0" w:line="6" w:lineRule="exact"/>
        <w:rPr>
          <w:sz w:val="20"/>
          <w:szCs w:val="20"/>
          <w:color w:val="auto"/>
        </w:rPr>
      </w:pPr>
    </w:p>
    <w:p>
      <w:pPr>
        <w:ind w:right="160"/>
        <w:spacing w:after="0" w:line="323" w:lineRule="auto"/>
        <w:rPr>
          <w:sz w:val="20"/>
          <w:szCs w:val="20"/>
          <w:color w:val="auto"/>
        </w:rPr>
      </w:pPr>
      <w:r>
        <w:rPr>
          <w:rFonts w:ascii="Arial" w:cs="Arial" w:eastAsia="Arial" w:hAnsi="Arial"/>
          <w:sz w:val="16"/>
          <w:szCs w:val="16"/>
          <w:color w:val="auto"/>
        </w:rPr>
        <w:t>Biosciences, Inc., a privately-held medical device company. Mr. Henneman is also senior advisor to Prettybrook Partners, a private equity firm, and a consultant to SparkMed Advisors LLC, which provides consulting and other services to start-up medical device and biotechnology companies.</w:t>
      </w:r>
    </w:p>
    <w:p>
      <w:pPr>
        <w:spacing w:after="0" w:line="147"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believe Mr. Henneman is qualified to serve on our board of directors because of his senior management experience at NewLink and Integra and his service on the boards of R1 RCM, Inc. and SeaSpine, as well as his extensive experience in the areas of finance, financial accounting, business transactions, and mergers and acquisitions, qualify him to serve on our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election of directors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225" w:lineRule="exact"/>
        <w:rPr>
          <w:sz w:val="20"/>
          <w:szCs w:val="20"/>
          <w:color w:val="auto"/>
        </w:rPr>
      </w:pPr>
    </w:p>
    <w:p>
      <w:pPr>
        <w:ind w:right="460" w:firstLine="351"/>
        <w:spacing w:after="0" w:line="306" w:lineRule="auto"/>
        <w:rPr>
          <w:sz w:val="20"/>
          <w:szCs w:val="20"/>
          <w:color w:val="auto"/>
        </w:rPr>
      </w:pPr>
      <w:r>
        <w:rPr>
          <w:rFonts w:ascii="Arial" w:cs="Arial" w:eastAsia="Arial" w:hAnsi="Arial"/>
          <w:sz w:val="16"/>
          <w:szCs w:val="16"/>
          <w:color w:val="auto"/>
        </w:rPr>
        <w:t>Our board of directors currently consists of seven members. After the completion of this offering, the number of directors will be fixed by our board of directors, subject to the terms of our amended and restated certificate of incorporation and amended and restated bylaws. Each of our current directors will continue to serve as a director until the election and qualification of his or her successor, or until his or her earlier death, resignation or removal.</w:t>
      </w:r>
    </w:p>
    <w:p>
      <w:pPr>
        <w:spacing w:after="0" w:line="16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Our certificate of incorporation and bylaws that will become effective as of the closing date of this offering provide that the authorized number of directors may be changed only by resolution of our board of directors. Our certificate of incorporation and bylaws will also provide that our directors may be removed only for cause by the affirmative vote of the holders of at least 75% of our shares of common stock present in person or by proxy and entitled to vote, and that any vacancy on our board of directors, including a vacancy resulting from an enlargement of our board of directors, may be filled only by vote of a majority of our directors then in office.</w:t>
      </w:r>
    </w:p>
    <w:p>
      <w:pPr>
        <w:spacing w:after="0" w:line="197"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have no formal policy regarding board diversity. Our priority in selection of board members is identification of members who will further the interests of our stockholders through his or her established record of professional accomplishment, the ability to contribute positively to the collaborative culture among board members, knowledge of our business and understanding of the competitive landscape.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jc w:val="both"/>
        <w:ind w:right="60" w:firstLine="351"/>
        <w:spacing w:after="0" w:line="298" w:lineRule="auto"/>
        <w:rPr>
          <w:sz w:val="20"/>
          <w:szCs w:val="20"/>
          <w:color w:val="auto"/>
        </w:rPr>
      </w:pPr>
      <w:r>
        <w:rPr>
          <w:rFonts w:ascii="Arial" w:cs="Arial" w:eastAsia="Arial" w:hAnsi="Arial"/>
          <w:sz w:val="16"/>
          <w:szCs w:val="16"/>
          <w:color w:val="auto"/>
        </w:rPr>
        <w:t>Under the rules of NASDAQ, independent directors must comprise a majority of a listed company's board of directors within one year of the completion of its initial public offering. In addition, the rules of NASDAQ require that, subject to specified exceptions, each member of a listed company's audit, compensation and corporate governance and nominating committees be independent. Our board of directors has determined that Scott M. Rocklage, Johan Christenson, John B. Henneman III, Jonathan Hepple, Guido Magni and Bernd R. Seizinger qualify as "independent"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0" w:name="page161"/>
    <w:bookmarkEnd w:id="160"/>
    <w:p>
      <w:pPr>
        <w:spacing w:after="0" w:line="290" w:lineRule="auto"/>
        <w:rPr>
          <w:sz w:val="20"/>
          <w:szCs w:val="20"/>
          <w:color w:val="auto"/>
        </w:rPr>
      </w:pPr>
      <w:r>
        <w:rPr>
          <w:rFonts w:ascii="Arial" w:cs="Arial" w:eastAsia="Arial" w:hAnsi="Arial"/>
          <w:sz w:val="16"/>
          <w:szCs w:val="16"/>
          <w:color w:val="auto"/>
        </w:rPr>
        <w:t>directors in accordance with the NASDAQ listing requirements. The NASDAQ independence definition includes a series of objective tests, such as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accordance with our amended and restated certificate of incorporation to be in effect immediately prior to the completion of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Effective upon the completion of this offering, we expect that our directors will be divided among the three classes as follows:</w:t>
      </w:r>
    </w:p>
    <w:p>
      <w:pPr>
        <w:spacing w:after="0" w:line="180" w:lineRule="exact"/>
        <w:rPr>
          <w:sz w:val="20"/>
          <w:szCs w:val="20"/>
          <w:color w:val="auto"/>
        </w:rPr>
      </w:pPr>
    </w:p>
    <w:p>
      <w:pPr>
        <w:ind w:left="1080" w:right="42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Class I directors will be Bernd R. Seizinger, M.D., Ph.D. and Jonathan Hepple, Ph.D. and their term will expire at the annual meeting of stockholders to be held in 2020;</w:t>
      </w:r>
    </w:p>
    <w:p>
      <w:pPr>
        <w:spacing w:after="0" w:line="21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Class II directors will be Guido Magni, M.D., Ph.D. and Johan Christenson, M.D., Ph.D. and their term will expire at the annual meeting of stockholders to be held in 2021; and</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Class III directors will be Christian S. Schade, Scott M. Rocklage, Ph.D. and John B. Henneman, III and their term will expire at the annual meeting of stockholders to be held in 2022.</w:t>
      </w:r>
    </w:p>
    <w:p>
      <w:pPr>
        <w:spacing w:after="0" w:line="186"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Upon the completion of this offering, our board of directors will have an audit committee and our board of directors will adopt an audit committee charter, which will define the audit committee's principal functions, including oversight related to:</w:t>
      </w:r>
    </w:p>
    <w:p>
      <w:pPr>
        <w:spacing w:after="0" w:line="199" w:lineRule="exact"/>
        <w:rPr>
          <w:sz w:val="20"/>
          <w:szCs w:val="20"/>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accounting and financial reporting process;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appointing our independent registered public accounting firm;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evaluating the independent registered public accounting firm's qualifications, independence and performance;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compensation, retention, oversight of the work of, and termination of the independent registered public accounting firm;</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discussing with management and the independent registered public accounting firm the results of the annual audit and the review of our quarterly financial statements;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pre-approving all audit and permitted non-audit and tax services to be provided;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61" w:name="page162"/>
    <w:bookmarkEnd w:id="161"/>
    <w:p>
      <w:pPr>
        <w:ind w:left="1080" w:right="6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monitoring the rotation of partners of the independent registered public accounting firm on our engagement team in accordance with requirements established by the SEC;</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our financial statements and our management's discussion and analysis of financial condition and results of operations to be included in our annual and quarterly reports to be filed with the SEC;</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our critical accounting policies and estimates;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the audit committee charter and the committee's performance at least annually.</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Upon the completion of this offering, our audit committee will be composed of John B. Henneman III, Bernd R. Seizinger and Jonathan Hepple. John B. Henneman III serves as the chairperson of the committee. All members of our audit committee meet the requirements for financial literacy under the applicable rules and regulations of the SEC and NASDAQ. Our board of directors has determined that John B. Henneman III is an audit committee financial expert as defined under the applicable rules of the SEC and has the requisite financial sophistication as defined under the applicable rules and regulations of NASDAQ. Under the rules of the SEC, members of the audit committee must also meet heightened independence standards. However, a minority of the members of the audit committee may be exempt from the heightened audit committee independence standards for one year from the date of effectiveness of the registration statement of which this prospectus forms a part. Each of the members of our audit committee is independent under the applicable rules and regulations of NASDAQ. The audit committee will operate under a written charter that satisfies the applicable standards of the SEC and NASDAQ.</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Upon the completion of this offering, our board of directors will have a compensation committee and our board of directors will adopt a compensation committee charter, which will define the compensation committee's principal functions, including recommending policies relating to compensation and benefits of our directors, officers and employees. Among other matters, the compensation committee will review and recommend corporate goals and objectives relevant to compensation of our Chief Executive Officer, evaluate the performance of our Chief Executive Officer in light of those goals and objectives and recommend to our board of directors the compensation of the Chief Executive Officer based on such evaluations. The compensation committee will also recommend to our board of directors the issuance of stock options and other awards under our stock plans. The compensation committee will review and evaluate, at least annually, the performance of the compensation committee and its members, including adherence by the compensation committee to its charter. Upon the completion of this offering, our compensation committee will be composed of Scott M. Rocklage, John B. Henneman III and Johan Christenson. Scott M. Rocklage serves as the chairperson of the committee. Each of the members of our compensation committee is independent under the applicable rules and regulations of NASDAQ and is a "non-employee director" as defined in Rule 16b-3 promulgated under the Securities Exchange Act. The compensation committee will operate under a written charter that satisfies the applicable standards of the SEC and NASDAQ.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Upon the completion of this offering, our board of directors will have a nominating and corporate governance committee and our board of directors will adopt a nominating and corporate governance committee charter. The nominating and corporate governance committee will be responsible for making recommendations to our board of directors regarding candidates for directorships and the size and composition of our board of directors. Among other matters, the nominating and corporate governance committee will be responsible for developing and monitoring compliance with our corporate governance guidelines and reporting and making recommendations to our board of directors concerning governance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162" w:name="page163"/>
    <w:bookmarkEnd w:id="162"/>
    <w:p>
      <w:pPr>
        <w:ind w:right="240"/>
        <w:spacing w:after="0" w:line="298" w:lineRule="auto"/>
        <w:rPr>
          <w:sz w:val="20"/>
          <w:szCs w:val="20"/>
          <w:color w:val="auto"/>
        </w:rPr>
      </w:pPr>
      <w:r>
        <w:rPr>
          <w:rFonts w:ascii="Arial" w:cs="Arial" w:eastAsia="Arial" w:hAnsi="Arial"/>
          <w:sz w:val="16"/>
          <w:szCs w:val="16"/>
          <w:color w:val="auto"/>
        </w:rPr>
        <w:t>matters. Upon the completion of this offering, our nominating and corporate governance committee will be composed of Guido Magni, Bernd R. Seizinger and Jonathan Hepple. Guido Magni serves as the chairman of the committee. Each of the members of our nominating and corporate governance committee is an independent director under the applicable rules and regulations of NASDAQ relating to nominating and corporate governance committee independence. The nominating and corporate governance committee will operate under a written charter that satisfies the applicable standards of the SEC and NASDAQ.</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None of our executive officers serves, or in the past year has served, as a member of the board of directors or compensation committee, or other committee serving an equivalent function, of any other entity that has one or more of its executive officers serving as a member of our board of directors or our compensation committee. None of the members of our compensation committee is, or has ever been, an officer or employee of our company.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plan to adopt a written code of business conduct and ethics that applies to our directors, officers and employees, including our principal executive officer, principal financial officer, principal accounting officer or controller, or persons performing similar functions, which will be effective upon the completion of this offering. Following this offering, we will post a copy of the code on the Corporate Governance section of our website. If we make any substantive amendments to, or grant any waivers from, the code of business conduct and ethics for any officer or director, we will disclose the nature of such amendment or waiver on our website or in a current report on Form 8-K.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w:t>
      </w:r>
    </w:p>
    <w:p>
      <w:pPr>
        <w:spacing w:after="0" w:line="231"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Our amended and restated certificate of incorporation, which will become effective immediately prior to the completion of this offering,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174" w:lineRule="exact"/>
        <w:rPr>
          <w:sz w:val="20"/>
          <w:szCs w:val="20"/>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amended and restated certificate of incorporation, which will become effective immediately prior to the completion of this offering, provides that we are required to indemnify our directors and officers to the fullest extent permitted by Delaware law. Our amended and restated certificate of incorporation also provides that, subject to limited exceptions, we are obligated to advance expenses incurred by a director or officer in advance of the final disposition of any action or proceeding, and permits us to secure insurance on behalf of any current or former director or officer against any liability asserted against such person, whether or not we would have the power to indemnify such person against such liability under our amended and restated certificate of incorporation or otherwise. 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3" w:name="page164"/>
    <w:bookmarkEnd w:id="163"/>
    <w:p>
      <w:pPr>
        <w:ind w:right="140"/>
        <w:spacing w:after="0" w:line="259" w:lineRule="auto"/>
        <w:rPr>
          <w:sz w:val="20"/>
          <w:szCs w:val="20"/>
          <w:color w:val="auto"/>
        </w:rPr>
      </w:pPr>
      <w:r>
        <w:rPr>
          <w:rFonts w:ascii="Arial" w:cs="Arial" w:eastAsia="Arial" w:hAnsi="Arial"/>
          <w:sz w:val="18"/>
          <w:szCs w:val="18"/>
          <w:color w:val="auto"/>
        </w:rPr>
        <w:t>fees, judgments, fines and settlement amounts incurred by any of these individuals in any action or proceeding. We believe that these provisions of our amended and restated certificate of incorporation and indemnification agreements are necessary to attract and retain qualified persons as directors and officers. We also maintain directors' and officers' liability insurance.</w:t>
      </w:r>
    </w:p>
    <w:p>
      <w:pPr>
        <w:spacing w:after="0" w:line="19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2018 director compensation</w:t>
      </w:r>
    </w:p>
    <w:p>
      <w:pPr>
        <w:spacing w:after="0" w:line="231" w:lineRule="exact"/>
        <w:rPr>
          <w:sz w:val="20"/>
          <w:szCs w:val="20"/>
          <w:color w:val="auto"/>
        </w:rPr>
      </w:pPr>
    </w:p>
    <w:p>
      <w:pPr>
        <w:ind w:right="80" w:firstLine="348"/>
        <w:spacing w:after="0" w:line="253" w:lineRule="auto"/>
        <w:rPr>
          <w:sz w:val="20"/>
          <w:szCs w:val="20"/>
          <w:color w:val="auto"/>
        </w:rPr>
      </w:pPr>
      <w:r>
        <w:rPr>
          <w:rFonts w:ascii="Arial" w:cs="Arial" w:eastAsia="Arial" w:hAnsi="Arial"/>
          <w:sz w:val="18"/>
          <w:szCs w:val="18"/>
          <w:color w:val="auto"/>
        </w:rPr>
        <w:t>We currently do not have a formal non-employee director compensation policy. We did not make any equity awards or non-equity awards to, or pay any other compensation to any of the non-employee members of our board of directors for their service as a director in 2018 with the exception of Dr. Seizinger. Pursuant to a letter agreement with us, Dr. Seizinger is entitled to receive an annual cash retainer of $28,727, paid annually in arrears, for his service on the board of directors. We reimburse our non-employee directors for reasonable travel and out-of-pocket expenses incurred in connection with attending board of directors and committee meetings. Mr. Schade, our chief executive officer and a member of our board of directors, did not receive any compensation for his service as a member of our board of directors during 2018. Mr. Schade's compensation for service as an employee for fiscal year 2018 is presented below in the "2018 Summary compensation table."</w:t>
      </w:r>
    </w:p>
    <w:p>
      <w:pPr>
        <w:spacing w:after="0" w:line="20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following table sets forth information regarding compensation earned by our non-employee directors during 2018. As noted above, Dr. Seizinger is the only non-employee director who received compensation during 2018.</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Fees Earned</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or Paid in</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9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Cash ($)</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 ($)(1)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Bernd R. Seizinger, M.D., Ph.D.</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28,727</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3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60" w:right="40" w:hanging="540"/>
        <w:spacing w:after="0" w:line="233" w:lineRule="auto"/>
        <w:tabs>
          <w:tab w:leader="none" w:pos="22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As of December 31, 2018, Dr. Seizinger held stock options to acquire 263,970 shares of our common stock following the consummation of the offering and the payment of a subscription price established in 2015. None of our other non-employee directors held any other outstanding equity awards with respect to us as of December 31, 2018.</w:t>
      </w:r>
    </w:p>
    <w:p>
      <w:pPr>
        <w:spacing w:after="0" w:line="195" w:lineRule="exact"/>
        <w:rPr>
          <w:sz w:val="20"/>
          <w:szCs w:val="20"/>
          <w:color w:val="auto"/>
        </w:rPr>
      </w:pPr>
    </w:p>
    <w:p>
      <w:pPr>
        <w:ind w:right="180" w:firstLine="341"/>
        <w:spacing w:after="0" w:line="259" w:lineRule="auto"/>
        <w:rPr>
          <w:sz w:val="20"/>
          <w:szCs w:val="20"/>
          <w:color w:val="auto"/>
        </w:rPr>
      </w:pPr>
      <w:r>
        <w:rPr>
          <w:rFonts w:ascii="Arial" w:cs="Arial" w:eastAsia="Arial" w:hAnsi="Arial"/>
          <w:sz w:val="18"/>
          <w:szCs w:val="18"/>
          <w:color w:val="auto"/>
        </w:rPr>
        <w:t>After the completion of this offering, our board of directors intends to approve a compensation policy for our non-employee directors. This policy will be intended to provide a total compensation package that enables us to attract and retain qualified and experienced individuals to serve as directors and to align our directors' interests with those of our stockholders.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ind w:right="640" w:firstLine="351"/>
        <w:spacing w:after="0" w:line="268" w:lineRule="auto"/>
        <w:rPr>
          <w:sz w:val="20"/>
          <w:szCs w:val="20"/>
          <w:color w:val="auto"/>
        </w:rPr>
      </w:pPr>
      <w:r>
        <w:rPr>
          <w:rFonts w:ascii="Arial" w:cs="Arial" w:eastAsia="Arial" w:hAnsi="Arial"/>
          <w:sz w:val="18"/>
          <w:szCs w:val="18"/>
          <w:color w:val="auto"/>
        </w:rPr>
        <w:t>Following this offering, we expect to offer our non-employee directors the following compensation for their service on our board of directors and its committees: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Director Compensation Element</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Board Cash Retainer</w:t>
            </w:r>
          </w:p>
        </w:tc>
        <w:tc>
          <w:tcPr>
            <w:tcW w:w="40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Committee Cash Retainer</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—Governance</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Committee Chair Cash Retainer</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—Governance</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Annual Stock Compensation</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150,000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Value of Initial Stock-Based Awards for Newly Elected Directors</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185,000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660" w:type="dxa"/>
            <w:vAlign w:val="bottom"/>
            <w:gridSpan w:val="3"/>
          </w:tcPr>
          <w:p>
            <w:pPr>
              <w:jc w:val="right"/>
              <w:ind w:right="1820"/>
              <w:spacing w:after="0"/>
              <w:rPr>
                <w:sz w:val="20"/>
                <w:szCs w:val="20"/>
                <w:color w:val="auto"/>
              </w:rPr>
            </w:pPr>
            <w:r>
              <w:rPr>
                <w:rFonts w:ascii="Arial" w:cs="Arial" w:eastAsia="Arial" w:hAnsi="Arial"/>
                <w:sz w:val="18"/>
                <w:szCs w:val="18"/>
                <w:color w:val="auto"/>
              </w:rPr>
              <w:t>161</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5" w:name="page166"/>
    <w:bookmarkEnd w:id="165"/>
    <w:p>
      <w:pPr>
        <w:jc w:val="center"/>
        <w:ind w:right="40"/>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This section describes the material elements of compensation awarded to, earned by or paid to each of our named executive officers in 2018. We are an "emerging growth company," within the meaning of the JOBS Act and a smaller reporting company under the Exchange Act, and have elected to comply with the reduced compensation disclosure requirements available to emerging growth companies under the JOBS Act. Our named executive officers for 2018 were Christian S. Schade, Lars Abrahmsen and Gregory A. Korbel. This section also provides qualitative information regarding the manner and context in which compensation is awarded to and earned by our named executive officers and is intended to place in perspective the data presented in the tables and narrative that follow.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Our current executive compensation program is intended to align executive compensation with our business objectives and to enable us to attract, retain and reward executive officers who contribute to our long-term success. The compensation paid or awarded to our executive officers is generally based on a qualitative assessment of each individual's performance compared against the business objectives established for the fiscal year as well as our historical compensation practices. In the case of new hire executive officers, their compensation is primarily determined based on the negotiations of the parties as well as our historical compensation practices. For 2018, the material elements of our executive compensation program were base salary and annual cash bonuses.</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preparing to become a public company, we have begun a thorough review of all elements of our executive compensation program, including the function and design of our equity incentive program. We expect that our executive compensation program will evolve to reflect our status as a newly publicly-traded company, while still supporting our overall business and compensation objectives. In connection with this offering, our board of directors has retained the services of Willis Towers Watson, an independent executive compensation consultant, to help advise on our post-offering executive compensation program, as described further below.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salaries</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2018, we paid annual base salaries of $412,000 to Mr. Schade, $192,505 to Dr. Abrahmsen and $226,600 to Dr. Korbel. We use base salaries to recognize the experience, skills, knowledge and responsibilities required of all our employees, including our named executive officers. None of our named executive officers is currently party to an employment agreement or other agreement or arrangement that provides for automatic or scheduled increases in base salary. Following a market review by Willis Towers Watson, the compensation committee adjusted the base salaries of Mr. Schade and Dr. Abrahmsen to $500,000 and $220,000, respectively, to be effective upon consummation of this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cash bonuses</w:t>
      </w:r>
    </w:p>
    <w:p>
      <w:pPr>
        <w:spacing w:after="0" w:line="225" w:lineRule="exact"/>
        <w:rPr>
          <w:sz w:val="20"/>
          <w:szCs w:val="20"/>
          <w:color w:val="auto"/>
        </w:rPr>
      </w:pPr>
    </w:p>
    <w:p>
      <w:pPr>
        <w:ind w:right="360" w:firstLine="341"/>
        <w:spacing w:after="0" w:line="305" w:lineRule="auto"/>
        <w:rPr>
          <w:sz w:val="20"/>
          <w:szCs w:val="20"/>
          <w:color w:val="auto"/>
        </w:rPr>
      </w:pPr>
      <w:r>
        <w:rPr>
          <w:rFonts w:ascii="Arial" w:cs="Arial" w:eastAsia="Arial" w:hAnsi="Arial"/>
          <w:sz w:val="15"/>
          <w:szCs w:val="15"/>
          <w:color w:val="auto"/>
        </w:rPr>
        <w:t>Although we do not have a formal performance-based bonus plan, each executive is eligible to receive a discretionary bonus pursuant to the terms of his employment agreement or offer letter, as applicable. Under such terms of employment, the target bonus opportunities, as a percentage of base salary, for</w:t>
      </w:r>
    </w:p>
    <w:p>
      <w:pPr>
        <w:ind w:right="60"/>
        <w:spacing w:after="0" w:line="253" w:lineRule="auto"/>
        <w:rPr>
          <w:sz w:val="20"/>
          <w:szCs w:val="20"/>
          <w:color w:val="auto"/>
        </w:rPr>
      </w:pPr>
      <w:r>
        <w:rPr>
          <w:rFonts w:ascii="Arial" w:cs="Arial" w:eastAsia="Arial" w:hAnsi="Arial"/>
          <w:sz w:val="18"/>
          <w:szCs w:val="18"/>
          <w:color w:val="auto"/>
        </w:rPr>
        <w:t>Mr. Schade, Dr. Abrahmsen and Dr. Korbel are 40%, 25%, and 20%, respectively. From time to time, our board of directors has approved discretionary annual cash bonuses to employees, including our named executive officers, based on a qualitative assessment of prior year performance. Mr. Schade, Dr. Abrahmsen and Dr. Korbel earned cash bonuses of $181,280, $52,139, and $49,852, respectively, for services performed during 2018. Following a market review by Willis Towers Watson, the compensation committee adjusted the annual bonus targets of Mr. Schade and Dr. Abrahmsen to 50% and 30% of base salary, respectively, to be effective upon consummation of this offering.</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i w:val="1"/>
          <w:iCs w:val="1"/>
          <w:color w:val="auto"/>
        </w:rPr>
        <w:t>Equity awards</w:t>
      </w:r>
    </w:p>
    <w:p>
      <w:pPr>
        <w:spacing w:after="0" w:line="225"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Although we do not have a formal policy with respect to the grant of equity incentive awards to our named executive officers, or any formal equity ownership guidelines applicable to them, we believe that equity grants provide recipients, including our named executive officers, with a strong link to our long-term performance, create an ownership culture and help to align the interests of our award recipients and our stockholders. In addition, we believe that equity grants with a time-based vesting feature promote executive retention because this feature incents the award recipient to remain in our employment during the vesting period. Accordingly, our board of directors periodically reviews the equity incentive compensation of our named executive officers and from time to time may grant equity incentive awards to them in the form of stock options. None of our named executive officers received equity awards in 2018, although each held outstanding equity awards as of December 31, 2018 a result of prior year equity grants. In connection with this offering, our board of directors granted stock option awards to certain employees of the Company, including each of the named executive officers. Accordingly, Mr. Schade, Dr. Abrahmsen and Mr. Korbel received stock option awards with respect to 306,085, 77,630 and 64,322 shares, respectively, and with an exercise price equal to the initial public offering price and which vest 25% on the one-year anniversary of the date of grant and monthly thereafter, subject to early vesting in the event of a change in control or certain terminations of employment.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Summary compensation table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information regarding compensation awarded to, earned by or paid to our named executive officers during 2018.</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All other</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102"/>
              <w:spacing w:after="0" w:line="149" w:lineRule="exact"/>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2"/>
                <w:szCs w:val="12"/>
                <w:color w:val="auto"/>
              </w:rPr>
            </w:pPr>
          </w:p>
        </w:tc>
        <w:tc>
          <w:tcPr>
            <w:tcW w:w="700" w:type="dxa"/>
            <w:vAlign w:val="bottom"/>
          </w:tcPr>
          <w:p>
            <w:pPr>
              <w:jc w:val="right"/>
              <w:ind w:right="102"/>
              <w:spacing w:after="0" w:line="149" w:lineRule="exact"/>
              <w:rPr>
                <w:sz w:val="20"/>
                <w:szCs w:val="20"/>
                <w:color w:val="auto"/>
              </w:rPr>
            </w:pPr>
            <w:r>
              <w:rPr>
                <w:rFonts w:ascii="Arial" w:cs="Arial" w:eastAsia="Arial" w:hAnsi="Arial"/>
                <w:sz w:val="14"/>
                <w:szCs w:val="14"/>
                <w:b w:val="1"/>
                <w:bCs w:val="1"/>
                <w:color w:val="auto"/>
              </w:rPr>
              <w:t>Bonus</w:t>
            </w: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 awards</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60" w:type="dxa"/>
            <w:vAlign w:val="bottom"/>
          </w:tcPr>
          <w:p>
            <w:pPr>
              <w:spacing w:after="0"/>
              <w:rPr>
                <w:sz w:val="12"/>
                <w:szCs w:val="12"/>
                <w:color w:val="auto"/>
              </w:rPr>
            </w:pPr>
          </w:p>
        </w:tc>
        <w:tc>
          <w:tcPr>
            <w:tcW w:w="88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Total</w:t>
            </w:r>
          </w:p>
        </w:tc>
      </w:tr>
      <w:tr>
        <w:trPr>
          <w:trHeight w:val="161"/>
        </w:trPr>
        <w:tc>
          <w:tcPr>
            <w:tcW w:w="360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rPr>
              <w:t>Year</w:t>
            </w:r>
          </w:p>
        </w:tc>
        <w:tc>
          <w:tcPr>
            <w:tcW w:w="86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auto"/>
              </w:rPr>
              <w:t>($)(1)</w:t>
            </w:r>
          </w:p>
        </w:tc>
        <w:tc>
          <w:tcPr>
            <w:tcW w:w="1200" w:type="dxa"/>
            <w:vAlign w:val="bottom"/>
            <w:gridSpan w:val="2"/>
          </w:tcPr>
          <w:p>
            <w:pPr>
              <w:jc w:val="right"/>
              <w:ind w:right="357"/>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center"/>
              <w:ind w:left="82"/>
              <w:spacing w:after="0"/>
              <w:rPr>
                <w:sz w:val="20"/>
                <w:szCs w:val="20"/>
                <w:color w:val="auto"/>
              </w:rPr>
            </w:pPr>
            <w:r>
              <w:rPr>
                <w:rFonts w:ascii="Arial" w:cs="Arial" w:eastAsia="Arial" w:hAnsi="Arial"/>
                <w:sz w:val="14"/>
                <w:szCs w:val="14"/>
                <w:b w:val="1"/>
                <w:bCs w:val="1"/>
                <w:color w:val="auto"/>
                <w:w w:val="93"/>
              </w:rPr>
              <w:t>($)(2)</w:t>
            </w:r>
          </w:p>
        </w:tc>
        <w:tc>
          <w:tcPr>
            <w:tcW w:w="88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Christian S. Schade(3)</w:t>
            </w:r>
          </w:p>
        </w:tc>
        <w:tc>
          <w:tcPr>
            <w:tcW w:w="1940" w:type="dxa"/>
            <w:vAlign w:val="bottom"/>
            <w:gridSpan w:val="2"/>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412,000</w:t>
            </w: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181,280</w:t>
            </w:r>
          </w:p>
        </w:tc>
        <w:tc>
          <w:tcPr>
            <w:tcW w:w="16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593,280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Lars Abrahmsen, Ph.D.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192,505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52,139</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62,190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306,834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gridSpan w:val="3"/>
          </w:tcPr>
          <w:p>
            <w:pPr>
              <w:spacing w:after="0"/>
              <w:rPr>
                <w:sz w:val="20"/>
                <w:szCs w:val="20"/>
                <w:color w:val="auto"/>
              </w:rPr>
            </w:pPr>
            <w:r>
              <w:rPr>
                <w:rFonts w:ascii="Arial" w:cs="Arial" w:eastAsia="Arial" w:hAnsi="Arial"/>
                <w:sz w:val="18"/>
                <w:szCs w:val="18"/>
                <w:color w:val="auto"/>
                <w:w w:val="98"/>
              </w:rPr>
              <w:t>Senior Vice President, Chief Scientific Officer</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Gregory A. Korbel, Ph.D.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226,600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49,852</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276,452</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580" w:type="dxa"/>
            <w:vAlign w:val="bottom"/>
            <w:gridSpan w:val="3"/>
          </w:tcPr>
          <w:p>
            <w:pPr>
              <w:spacing w:after="0"/>
              <w:rPr>
                <w:sz w:val="20"/>
                <w:szCs w:val="20"/>
                <w:color w:val="auto"/>
              </w:rPr>
            </w:pPr>
            <w:r>
              <w:rPr>
                <w:rFonts w:ascii="Arial" w:cs="Arial" w:eastAsia="Arial" w:hAnsi="Arial"/>
                <w:sz w:val="18"/>
                <w:szCs w:val="18"/>
                <w:color w:val="auto"/>
              </w:rPr>
              <w:t>Vice President of Business Development</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92" w:lineRule="exact"/>
        <w:rPr>
          <w:sz w:val="20"/>
          <w:szCs w:val="20"/>
          <w:color w:val="auto"/>
        </w:rPr>
      </w:pPr>
    </w:p>
    <w:p>
      <w:pPr>
        <w:ind w:left="1680" w:hanging="531"/>
        <w:spacing w:after="0"/>
        <w:tabs>
          <w:tab w:leader="none" w:pos="16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amounts reported in the "Bonus" column represent discretionary annual cash bonuses awarded to our named executive officers.</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Consists of pension plan contributions for Dr. Abrahmsen.</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Mr. Schade serves as a member of our board of directors but does not receive any additional compensation for his service as a director.</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color w:val="auto"/>
        </w:rPr>
        <w:t>Outstanding equity awards at 2018 fiscal year-end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information regarding outstanding equity awards held by our named executive officers as of December 31, 2018:</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Option awards</w:t>
            </w:r>
          </w:p>
        </w:tc>
        <w:tc>
          <w:tcPr>
            <w:tcW w:w="10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1"/>
                <w:szCs w:val="11"/>
                <w:color w:val="auto"/>
              </w:rPr>
            </w:pPr>
          </w:p>
        </w:tc>
        <w:tc>
          <w:tcPr>
            <w:tcW w:w="136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8"/>
              </w:rPr>
              <w:t>Number of</w:t>
            </w: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securities</w:t>
            </w:r>
          </w:p>
        </w:tc>
        <w:tc>
          <w:tcPr>
            <w:tcW w:w="160" w:type="dxa"/>
            <w:vAlign w:val="bottom"/>
          </w:tcPr>
          <w:p>
            <w:pPr>
              <w:spacing w:after="0"/>
              <w:rPr>
                <w:sz w:val="12"/>
                <w:szCs w:val="12"/>
                <w:color w:val="auto"/>
              </w:rPr>
            </w:pPr>
          </w:p>
        </w:tc>
        <w:tc>
          <w:tcPr>
            <w:tcW w:w="13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securities</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underlying</w:t>
            </w:r>
          </w:p>
        </w:tc>
        <w:tc>
          <w:tcPr>
            <w:tcW w:w="16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underlying</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unexercised</w:t>
            </w:r>
          </w:p>
        </w:tc>
        <w:tc>
          <w:tcPr>
            <w:tcW w:w="16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unexercised</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Vesting</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option</w:t>
            </w:r>
          </w:p>
        </w:tc>
        <w:tc>
          <w:tcPr>
            <w:tcW w:w="16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option</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commencement</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exercisable</w:t>
            </w:r>
          </w:p>
        </w:tc>
        <w:tc>
          <w:tcPr>
            <w:tcW w:w="160" w:type="dxa"/>
            <w:vAlign w:val="bottom"/>
          </w:tcPr>
          <w:p>
            <w:pPr>
              <w:spacing w:after="0"/>
              <w:rPr>
                <w:sz w:val="12"/>
                <w:szCs w:val="12"/>
                <w:color w:val="auto"/>
              </w:rPr>
            </w:pPr>
          </w:p>
        </w:tc>
        <w:tc>
          <w:tcPr>
            <w:tcW w:w="13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unexercisable</w:t>
            </w:r>
          </w:p>
        </w:tc>
        <w:tc>
          <w:tcPr>
            <w:tcW w:w="108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w w:val="91"/>
              </w:rPr>
              <w:t>Option exercise</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expiration</w:t>
            </w:r>
          </w:p>
        </w:tc>
      </w:t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date</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400" w:type="dxa"/>
            <w:vAlign w:val="bottom"/>
          </w:tcPr>
          <w:p>
            <w:pPr>
              <w:spacing w:after="0"/>
              <w:rPr>
                <w:sz w:val="14"/>
                <w:szCs w:val="14"/>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8"/>
              </w:rPr>
              <w:t>price ($/share)</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date</w:t>
            </w:r>
          </w:p>
        </w:tc>
      </w:tr>
      <w:tr>
        <w:trPr>
          <w:trHeight w:val="210"/>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S. Schade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4/20/17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351,956</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175,979(2)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9/14/2026</w:t>
            </w: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11/24/18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43,454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116,995</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11/24/2027</w:t>
            </w:r>
          </w:p>
        </w:tc>
      </w:tr>
      <w:tr>
        <w:trPr>
          <w:trHeight w:val="208"/>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Lars Abrahmsen, Ph.D.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4/20/17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70,391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35,196</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0.92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9/14/2026</w:t>
            </w:r>
          </w:p>
        </w:tc>
      </w:tr>
      <w:tr>
        <w:trPr>
          <w:trHeight w:val="222"/>
        </w:trPr>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11/21/18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15,209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40,948</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11/24/2027</w:t>
            </w:r>
          </w:p>
        </w:tc>
      </w:tr>
      <w:tr>
        <w:trPr>
          <w:trHeight w:val="218"/>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A. Korbel, Ph.D.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7/5/17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48,481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31,764</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9/14/2026</w:t>
            </w: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14,706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17,383</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2/16/2027</w:t>
            </w: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11/24/18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17,550</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11/24/2027</w:t>
            </w:r>
          </w:p>
        </w:tc>
      </w:tr>
      <w:tr>
        <w:trPr>
          <w:trHeight w:val="108"/>
        </w:trPr>
        <w:tc>
          <w:tcPr>
            <w:tcW w:w="20" w:type="dxa"/>
            <w:vAlign w:val="bottom"/>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1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r>
    </w:tbl>
    <w:p>
      <w:pPr>
        <w:spacing w:after="0" w:line="192" w:lineRule="exact"/>
        <w:rPr>
          <w:sz w:val="20"/>
          <w:szCs w:val="20"/>
          <w:color w:val="auto"/>
        </w:rPr>
      </w:pPr>
    </w:p>
    <w:p>
      <w:pPr>
        <w:ind w:left="1680" w:right="460" w:hanging="531"/>
        <w:spacing w:after="0" w:line="239" w:lineRule="auto"/>
        <w:tabs>
          <w:tab w:leader="none" w:pos="16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Twenty-five percent of these options vested on the Vesting Commencement Date, with the remaining options vesting in equal monthly installments on the first day of every calendar month during the following three year period.</w:t>
      </w:r>
    </w:p>
    <w:p>
      <w:pPr>
        <w:spacing w:after="0" w:line="111" w:lineRule="exact"/>
        <w:rPr>
          <w:rFonts w:ascii="Arial" w:cs="Arial" w:eastAsia="Arial" w:hAnsi="Arial"/>
          <w:sz w:val="14"/>
          <w:szCs w:val="14"/>
          <w:color w:val="auto"/>
        </w:rPr>
      </w:pPr>
    </w:p>
    <w:p>
      <w:pPr>
        <w:ind w:left="1680" w:right="400" w:hanging="531"/>
        <w:spacing w:after="0" w:line="239" w:lineRule="auto"/>
        <w:tabs>
          <w:tab w:leader="none" w:pos="16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These options are subject to accelerated vesting in the event Mr. Schade's employment is terminated by us without "cause" or by him due to "good reason" within 12 months following a change in control.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severance and change in control agreements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entered into employment agreements with each of Mr. Schade, Dr. Abrahmsen and Dr. Korbel. These agreements set forth the initial terms and conditions of each executive's employment with us, including base salary, target annual bonus opportunity and standard employee benefit plan participation. Except as noted below, these employment agreements provide for "at will" employment. The terms "cause," "good reason" and "change in control" referred to below are defined in each named executive officer's employment agreement.</w:t>
      </w:r>
    </w:p>
    <w:p>
      <w:pPr>
        <w:spacing w:after="0" w:line="197"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connection with this offering, we expect to enter into new employment agreements with the Company's named executive officers that will set forth the initial terms of their employment, including base salary and annual bonus target levels. In addition, the employment agreements are expected to provide for severance benefits following a termination by the Company without "cause," the expiration of the employment agreement term upon non-renewal by the Company or resignation by the named executive officer due to "good reason" as follows: (i) severance payments equal to nine-months of base salary (12-months in the case of Mr. Schade); (ii) a prorated target bonus for the year of termination; and (iii) the payment of an amount equal to the employer's portion of healthcare continuation coverage for a period of up to nine-months (12-months in the case of Mr. Schade), with the severance amount and healthcare continuation increasing to 12-months (18-months in the case of Mr. Schade) for a qualifying termination of employment following a change in control of the Company. The severance benefits under the employment agreements will be subject to the named executive officer's execution of a release of claims in favor of the Company and compliance with restrictive covenants relating to non-competition, non-solicitation and confidentiality.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Christian S. Schade</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entered into an employment letter agreement with Mr. Schade in April 2016. Under the terms of the letter agreement, in the event that he is terminated by us without "cause" or he terminates his employment for "good reason," death or disability he will be entitled to receive, upon execution and effectiveness of a release of claims, (i) continued payment of his then-current base salary for a period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68" w:name="page169"/>
    <w:bookmarkEnd w:id="168"/>
    <w:p>
      <w:pPr>
        <w:spacing w:after="0" w:line="254" w:lineRule="auto"/>
        <w:rPr>
          <w:sz w:val="20"/>
          <w:szCs w:val="20"/>
          <w:color w:val="auto"/>
        </w:rPr>
      </w:pPr>
      <w:r>
        <w:rPr>
          <w:rFonts w:ascii="Arial" w:cs="Arial" w:eastAsia="Arial" w:hAnsi="Arial"/>
          <w:sz w:val="18"/>
          <w:szCs w:val="18"/>
          <w:color w:val="auto"/>
        </w:rPr>
        <w:t>of 12 months following termination and (ii) a direct payment by us of the medical, vision and dental coverage premiums due to maintain any COBRA coverage for which he is eligible and has appropriately elected through the earlier of (x) 12 months following termination and (y) the date he becomes employed by another entity or individual. Upon a termination without "cause" or due to "good reason," death or disability during this 12 month period following "change of control" Mr. Schade is entitled to a prorated target bonus for the year of such termination. Further, in the event Mr. Schade's employment is terminated by us without "cause" or by him due to "good reason" within 12-months following a change in control, the outstanding options granted under the letter agreement will vest in full.</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the event that we terminate Mr. Schade with cause or he resigns without good reason, then he will not be entitled to receive severance benefits.</w:t>
      </w:r>
    </w:p>
    <w:p>
      <w:pPr>
        <w:spacing w:after="0" w:line="248"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Under the letter agreement, Mr. Schade is prohibited from disclosing our confidential information and is subject to non-competition and non-solicitation restrictive covenants for 12-months post-termination.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Lars Abrahmsen, Ph.D.</w:t>
      </w:r>
    </w:p>
    <w:p>
      <w:pPr>
        <w:spacing w:after="0" w:line="225"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We entered into an employment agreement with Dr. Abrahmsen in March 2016. Dr. Abrahmsen's employment agreement may be terminated by us upon six-month prior written notice. Under the terms of Dr. Abrahmsen's employment agreement, we are required to compensate Dr. Abrahmsen up to 60% of his average monthly remuneration during the 12-month non-compete period under his employment agreement. Dr. Abrahmsen is also subject to a non-solicit restrictive covenant for six-months following termination and prohibitions on the disclosure of our confidential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Gregory A. Korbel, Ph.D.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entered into an employment letter agreement with Dr. Korbel in July 2016.</w:t>
      </w:r>
    </w:p>
    <w:p>
      <w:pPr>
        <w:spacing w:after="0" w:line="225"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In the event that he is terminated by us without "cause" or his employment termination due to death or disability, he will be entitled to receive, upon execution and effectiveness of a release of claims, (i) continued payment of his then-current base salary for a period of three months following termination (six months if such termination occurs within the 12 month period immediately following a "change of control") and (ii) a direct payment by us of the medical, vision and dental coverage premiums due to maintain any COBRA coverage for which he is eligible and has appropriately elected through the earlier of (i) the date his base salary continuation ceases following termination and (ii) the date he becomes employed by another entity or individual.</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the event that we terminate Dr. Korbel with cause or he resigns, then he will not be entitled to receive severance benefits.</w:t>
      </w:r>
    </w:p>
    <w:p>
      <w:pPr>
        <w:spacing w:after="0" w:line="225"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Under the letter agreement, Dr. Korbel is prohibited from disclosing our confidential information and is subject to non-competition and non-solicitation restrictive covenants for 12-months post-termination.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Plan</w:t>
      </w:r>
    </w:p>
    <w:p>
      <w:pPr>
        <w:spacing w:after="0" w:line="225"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color w:val="auto"/>
        </w:rPr>
        <w:t>Our company policy is to provide a pension plan, the Pension Plan, to all of our employees in Sweden. Contributions for each employee are calculated as an age-adjusted percentage of base salary. All contributions to the Pension Plan begin at the time of employment and cease upon termination of employment, with contributions distributed to the participant at retirement. Other than the Pension Plan, the Company does not maintain any retirement programs for its employees.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color w:val="auto"/>
        </w:rPr>
        <w:t>Stock option and other compensation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Stock option program</w:t>
      </w:r>
    </w:p>
    <w:p>
      <w:pPr>
        <w:spacing w:after="0" w:line="225"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2016 Stock Incentive Plan of Aprea AB, or 2016 Plan, was approved by the board of directors and stockholders of Aprea AB in October 2016. Under the 2016 Plan, we have reserved for issuance an aggregate of 3,402,418 shares of common stock of Aprea AB. The number of shares of common stock reserved for issuance is subject to adjustment in the event of a stock split, stock dividend, recapitalization, combination of shares, reclassification of shares, spin-off or other similar change in our capitalization.</w:t>
      </w:r>
    </w:p>
    <w:p>
      <w:pPr>
        <w:spacing w:after="0" w:line="19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board of directors of Aprea AB has acted as administrator of the 2016 Plan. The administrator has full power to select, from among the individuals eligible for awards, the individuals to whom awards will be granted, and to determine the specific terms and conditions of each award, subject to the provisions of the 2016 Plan. Persons eligible to participate in the 2016 Plan are those employees, officers and directors of, and consultants to, the company as selected from time to time by the administrator in its discretion.</w:t>
      </w:r>
    </w:p>
    <w:p>
      <w:pPr>
        <w:spacing w:after="0" w:line="197"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color w:val="auto"/>
        </w:rPr>
        <w:t>The term and per share option exercise price of each option under the 2016 Plan is determined by the administrator. The option may not be exercised until the occurrence of a "Trade Sale" or "IPO," as defined in the 2016 Plan; provided, however, that option holders may also exercise their options when they leave their employment with the Company.</w:t>
      </w:r>
    </w:p>
    <w:p>
      <w:pPr>
        <w:spacing w:after="0" w:line="194"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2016 Plan provides that upon the occurrence of a "Trade Sale," as defined in the 2016 Plan, our board of directors may take one or more of the following actions as to some or all awards outstanding under the 2016 Plan: (1) decide on a period for exercise of the stock options; (2) resolve to have these terms and conditions continue following the closing date of the Trade Sale; (3) allow a grant of equivalent rights to acquire securities in a new company as the option holder had in us immediately before the Trade Sale in which case any rights under the stock options shall lapse as a consequence thereof; (4) allow an amendment of the awards' terms and conditions to the effect that, following the Trade Sale, a new company assumes our rights and obligations under the 2016 Plan and that the holder's right to subscribe for shares in accordance with the 2016 Plan shall relate to shares in such new company; (5) resolve to pay the option holder in cash the difference between the share price in the Trade Sale and the exercise price, meaning that the stock option cannot be exercised into shares and that the stock option will lapse or (6) any combination of the foregoing. The 2016 Plan provides that upon the occurrence of an "IPO," as defined in the 2016 Plan, our board of directors shall decide on an exercise period.</w:t>
      </w:r>
    </w:p>
    <w:p>
      <w:pPr>
        <w:spacing w:after="0" w:line="174" w:lineRule="exact"/>
        <w:rPr>
          <w:sz w:val="20"/>
          <w:szCs w:val="20"/>
          <w:color w:val="auto"/>
        </w:rPr>
      </w:pPr>
    </w:p>
    <w:p>
      <w:pPr>
        <w:ind w:right="760" w:firstLine="348"/>
        <w:spacing w:after="0" w:line="259" w:lineRule="auto"/>
        <w:rPr>
          <w:sz w:val="20"/>
          <w:szCs w:val="20"/>
          <w:color w:val="auto"/>
        </w:rPr>
      </w:pPr>
      <w:r>
        <w:rPr>
          <w:rFonts w:ascii="Arial" w:cs="Arial" w:eastAsia="Arial" w:hAnsi="Arial"/>
          <w:sz w:val="18"/>
          <w:szCs w:val="18"/>
          <w:color w:val="auto"/>
        </w:rPr>
        <w:t>The administrator may amend, the 2016 Plan at any time, subject to stockholder approval where such approval is required by applicable law. The administrator of the 2016 Plan may also amend, any outstanding award, provided that no amendment to an award may materially and adversely affect a participant's rights without his or her consent.</w:t>
      </w:r>
    </w:p>
    <w:p>
      <w:pPr>
        <w:spacing w:after="0" w:line="194"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2016 Plan will terminate automatically upon September 30, 2026. As of June 30, 2019, options to purchase 2,761,794 shares of common stock were outstanding under the 2016 Plan. In connection with the Holdco Reorganization and prior to the completion of this Offering, each outstanding option to purchase common stock of Aprea AB issued pursuant to the 2016 Plan will be canceled, and we will issue to the holder of each such Aprea AB option, a substitute option to purchase shares of our common stock pursuant to our 2019 Plan. See "Corporate Reorganization" for further detail regarding these transactions. Our board of directors has determined not to make any further awards under the 2016 Plan following the completion of this offering.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i w:val="1"/>
          <w:iCs w:val="1"/>
          <w:color w:val="auto"/>
        </w:rPr>
        <w:t>2019 Stock incentive plan</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 connection with this offering, our board of directors expects to adopt, and our current stockholders expect to approve, the 2019 Stock Incentive Plan, or the 2019 Plan, prior to the effective date of this offering. The 2019 Plan will replace the 2016 Plan, as described above.</w:t>
      </w:r>
    </w:p>
    <w:p>
      <w:pPr>
        <w:spacing w:after="0" w:line="186"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purposes of the 2019 Plan are to align the interests of our stockholders and those eligible for awards, to retain officers, directors, employees, and other service providers, and to encourage them to act in our long-term best interests. Our 2019 Plan provides for the grant of incentive stock options (within the meaning of Internal Revenue Code Section 422), nonstatutory stock options, stock appreciation rights, restricted stock, restricted stock units, other stock awards, and performance awards. Officers, directors, employees, consultants, agents and independent contractors who provide services to us or to any subsidiary of ours are eligible to receive awards under the 2019 Plan. The material terms of the 2019 Plan are expected to be as follows:</w:t>
      </w:r>
    </w:p>
    <w:p>
      <w:pPr>
        <w:spacing w:after="0" w:line="170"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i w:val="1"/>
          <w:iCs w:val="1"/>
          <w:color w:val="auto"/>
        </w:rPr>
        <w:t xml:space="preserve">Stock subject to the plan. </w:t>
      </w:r>
      <w:r>
        <w:rPr>
          <w:rFonts w:ascii="Arial" w:cs="Arial" w:eastAsia="Arial" w:hAnsi="Arial"/>
          <w:sz w:val="16"/>
          <w:szCs w:val="16"/>
          <w:color w:val="auto"/>
        </w:rPr>
        <w:t>The number of shares reserved for issuance under the 2019 Plan, including shares issuable upon exercise of options substituted</w:t>
      </w:r>
      <w:r>
        <w:rPr>
          <w:rFonts w:ascii="Arial" w:cs="Arial" w:eastAsia="Arial" w:hAnsi="Arial"/>
          <w:sz w:val="16"/>
          <w:szCs w:val="16"/>
          <w:i w:val="1"/>
          <w:iCs w:val="1"/>
          <w:color w:val="auto"/>
        </w:rPr>
        <w:t xml:space="preserve"> </w:t>
      </w:r>
      <w:r>
        <w:rPr>
          <w:rFonts w:ascii="Arial" w:cs="Arial" w:eastAsia="Arial" w:hAnsi="Arial"/>
          <w:sz w:val="16"/>
          <w:szCs w:val="16"/>
          <w:color w:val="auto"/>
        </w:rPr>
        <w:t>for those originally issued under the 2016 Plan as well as stock options previously issued to our director, Bernd Seizinger, under a separate plan in 2015, is 5,000,000, plus an annual increase added on the first day of each fiscal year, beginning with the fiscal year ending December 31, 2020 and continuing until, and including, the fiscal year ending December 31, 2029. The annual increase will be equal to the lesser of (i) 4% of the number of shares of common stock outstanding on the first day of such fiscal year, (ii) 5,000,000 shares of our common stock or (iii) such other amount determined by our board of directors. To the extent an equity award granted under the 2019 Plan, including awards granted in exchange for awards under the 2016 Plan or any other prior equity plan of the Company (other than any substitute award), expires or otherwise terminates without having been exercised or paid in full, or is settled in cash, the shares subject to such award will become available for future grant under the 2019 Plan. In addition, to the extent shares subject to an award granted under the 2019 Plan or a prior equity plan of the Company are withheld to satisfy a participant's tax withholding obligation upon the exercise or settlement of such award (other than any substitute award) or to pay the exercise price of a stock option, such shares will become available for future grant under the 2019 Plan.</w:t>
      </w:r>
    </w:p>
    <w:p>
      <w:pPr>
        <w:spacing w:after="0" w:line="177"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i w:val="1"/>
          <w:iCs w:val="1"/>
          <w:color w:val="auto"/>
        </w:rPr>
        <w:t xml:space="preserve">Plan administration. </w:t>
      </w:r>
      <w:r>
        <w:rPr>
          <w:rFonts w:ascii="Arial" w:cs="Arial" w:eastAsia="Arial" w:hAnsi="Arial"/>
          <w:sz w:val="16"/>
          <w:szCs w:val="16"/>
          <w:color w:val="auto"/>
        </w:rPr>
        <w:t>Our compensation committee will administer the 2019 Plan. Our board of directors has the authority to amend and modify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any stockholder approval required by applicable law or stock exchange rules. Subject to the terms of the 2019 Plan, our compensation committee will have the authority to determine the eligibility for awards and the terms, conditions, and restrictions, including vesting terms, the number of shares subject to an award, and any performance goals applicable to grants made under the 2019 Plan. The compensation committee also will have the authority, subject to the terms of the 2019 Plan, to construe and interpret the 2019 Plan and awards, and amend outstanding awards at any time.</w:t>
      </w:r>
    </w:p>
    <w:p>
      <w:pPr>
        <w:spacing w:after="0" w:line="17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 xml:space="preserve">Stock options and stock appreciation rights. </w:t>
      </w:r>
      <w:r>
        <w:rPr>
          <w:rFonts w:ascii="Arial" w:cs="Arial" w:eastAsia="Arial" w:hAnsi="Arial"/>
          <w:sz w:val="16"/>
          <w:szCs w:val="16"/>
          <w:color w:val="auto"/>
        </w:rPr>
        <w:t>Our compensation committee may grant incentive stock options, nonstatutory stock options, and stock</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 rights under the 2019 Plan, provided that incentive stock options are granted only to employees. Other than with respect to options issued in substitution of awards granted under the 2016 Plan and other prior plans, the exercise price of stock options and stock appreciation rights under the 2019 Plan will be fixed by the compensation committee, but must equal at least 100% of the fair market value of our common stock on the date of grant. The term of an option or stock appreciation right may not exceed ten years; provided, however, that an incentive stock option held by an employee who owns more than 10% of all of our classes of stock, or of certain of our affiliates, may not have a term in excess of five years, and must have an exercise price of at least 110% of the fair market value of our common stock on the grant date. Subject to the provisions of the 2019 Plan, the compensation committee will determine the remaining terms of the options and stock appreciation rights (e.g., vesting). Upon a participant's termination of service,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1" w:name="page172"/>
    <w:bookmarkEnd w:id="171"/>
    <w:p>
      <w:pPr>
        <w:ind w:right="60"/>
        <w:spacing w:after="0" w:line="268" w:lineRule="auto"/>
        <w:rPr>
          <w:sz w:val="20"/>
          <w:szCs w:val="20"/>
          <w:color w:val="auto"/>
        </w:rPr>
      </w:pPr>
      <w:r>
        <w:rPr>
          <w:rFonts w:ascii="Arial" w:cs="Arial" w:eastAsia="Arial" w:hAnsi="Arial"/>
          <w:sz w:val="18"/>
          <w:szCs w:val="18"/>
          <w:color w:val="auto"/>
        </w:rPr>
        <w:t>participant may exercise his or her option or stock appreciation right, to the extent vested (unless the compensation committee permits otherwise), as specified in the award agreement.</w:t>
      </w:r>
    </w:p>
    <w:p>
      <w:pPr>
        <w:spacing w:after="0" w:line="18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 xml:space="preserve">Stock awards. </w:t>
      </w:r>
      <w:r>
        <w:rPr>
          <w:rFonts w:ascii="Arial" w:cs="Arial" w:eastAsia="Arial" w:hAnsi="Arial"/>
          <w:sz w:val="16"/>
          <w:szCs w:val="16"/>
          <w:color w:val="auto"/>
        </w:rPr>
        <w:t>Our compensation committee will decide at the time of grant whether an award will be in the form of restricted stock, restricted stock units,</w:t>
      </w:r>
      <w:r>
        <w:rPr>
          <w:rFonts w:ascii="Arial" w:cs="Arial" w:eastAsia="Arial" w:hAnsi="Arial"/>
          <w:sz w:val="16"/>
          <w:szCs w:val="16"/>
          <w:i w:val="1"/>
          <w:iCs w:val="1"/>
          <w:color w:val="auto"/>
        </w:rPr>
        <w:t xml:space="preserve"> </w:t>
      </w:r>
      <w:r>
        <w:rPr>
          <w:rFonts w:ascii="Arial" w:cs="Arial" w:eastAsia="Arial" w:hAnsi="Arial"/>
          <w:sz w:val="16"/>
          <w:szCs w:val="16"/>
          <w:color w:val="auto"/>
        </w:rPr>
        <w:t>or other stock award. The compensation committee will determine the number of shares subject to the award, vesting, and the nature of any performance measures. Unless otherwise specified in the award agreement, the recipient of restricted stock will have voting rights and be entitled to receive dividends with respect to his or her shares of restricted stock. The recipient of restricted stock units will not have voting rights, but his or her award agreement may provide for the receipt of dividend equivalents. Our compensation committee may grant other stock awards that are based on or related to shares of our common stock, such as awards of shares of common stock granted as bonus and not subject to any vesting conditions, deferred stock units, stock purchase rights, and shares of our common stock issued in lieu of our obligations to pay cash under any compensatory plan or arrangement.</w:t>
      </w:r>
    </w:p>
    <w:p>
      <w:pPr>
        <w:spacing w:after="0" w:line="172"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Our compensation committee will determine the value of any performance award, the vesting and nature of the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and whether the award is denominated or settled in cash or in shares of our common stock. The performance goals applicable to a particular award will be determined by our compensation committee at the time of grant.</w:t>
      </w:r>
    </w:p>
    <w:p>
      <w:pPr>
        <w:spacing w:after="0" w:line="194"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i w:val="1"/>
          <w:iCs w:val="1"/>
          <w:color w:val="auto"/>
        </w:rPr>
        <w:t xml:space="preserve">Transferability of awards. </w:t>
      </w:r>
      <w:r>
        <w:rPr>
          <w:rFonts w:ascii="Arial" w:cs="Arial" w:eastAsia="Arial" w:hAnsi="Arial"/>
          <w:sz w:val="16"/>
          <w:szCs w:val="16"/>
          <w:color w:val="auto"/>
        </w:rPr>
        <w:t>The 2019 Plan does not allow awards to be transferred other than by will or the laws of inheritance following the participant's</w:t>
      </w:r>
      <w:r>
        <w:rPr>
          <w:rFonts w:ascii="Arial" w:cs="Arial" w:eastAsia="Arial" w:hAnsi="Arial"/>
          <w:sz w:val="16"/>
          <w:szCs w:val="16"/>
          <w:i w:val="1"/>
          <w:iCs w:val="1"/>
          <w:color w:val="auto"/>
        </w:rPr>
        <w:t xml:space="preserve"> </w:t>
      </w:r>
      <w:r>
        <w:rPr>
          <w:rFonts w:ascii="Arial" w:cs="Arial" w:eastAsia="Arial" w:hAnsi="Arial"/>
          <w:sz w:val="16"/>
          <w:szCs w:val="16"/>
          <w:color w:val="auto"/>
        </w:rPr>
        <w:t>death, and options may be exercised, during the lifetime of the participant, only by the participant. However, an award agreement may permit a participant to assign an award to a family member by gift or pursuant to a domestic relations order, or to a trust, family limited partnership or similar entity established for one of the participant's family members. A participant may also designate a beneficiary who will receive outstanding awards upon the participant's death.</w:t>
      </w:r>
    </w:p>
    <w:p>
      <w:pPr>
        <w:spacing w:after="0" w:line="16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Certain adjustments. </w:t>
      </w:r>
      <w:r>
        <w:rPr>
          <w:rFonts w:ascii="Arial" w:cs="Arial" w:eastAsia="Arial" w:hAnsi="Arial"/>
          <w:sz w:val="18"/>
          <w:szCs w:val="18"/>
          <w:color w:val="auto"/>
        </w:rPr>
        <w:t>If any change is made in our common stock subject to the 2019 Plan, or subject to any award agreement under the 2019 Plan,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the receipt of consideration by us, such as through a stock split, stock dividend, extraordinary distribution, recapitalization, combination of shares, exchange of shares or other similar transaction, appropriate adjustments will be made in the number, class, and price of shares subject to each outstanding award and the numerical share limits contained in the plan.</w:t>
      </w:r>
    </w:p>
    <w:p>
      <w:pPr>
        <w:spacing w:after="0" w:line="197"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Subject to the terms of the applicable award agreement, upon a "change in control" (as defined in the 2019 Plan),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may, in its discretion, determine whether some or all outstanding options and stock appreciation rights will become exercisable in full or in part, whether the restriction period and performance period applicable to some or all outstanding restricted stock awards and restricted stock unit awards will lapse in full or in part and whether the performance measures applicable to some or all outstanding awards will be deemed to be satisfied. Our board of directors may further require that shares of stock of the corporation resulting from such a change in control, or a parent corporation thereof, be substituted for some or all of our shares of common stock subject to an outstanding award and that any outstanding awards, in whole or in part, be surrendered to us by the holder and be immediately cancelled by us in exchange for a cash payment, shares of common stock of the corporation resulting from or succeeding us or a combination of both cash and such shares of stock.</w:t>
      </w:r>
    </w:p>
    <w:p>
      <w:pPr>
        <w:spacing w:after="0" w:line="172" w:lineRule="exact"/>
        <w:rPr>
          <w:sz w:val="20"/>
          <w:szCs w:val="20"/>
          <w:color w:val="auto"/>
        </w:rPr>
      </w:pPr>
    </w:p>
    <w:p>
      <w:pPr>
        <w:ind w:right="560" w:firstLine="351"/>
        <w:spacing w:after="0" w:line="332" w:lineRule="auto"/>
        <w:rPr>
          <w:sz w:val="20"/>
          <w:szCs w:val="20"/>
          <w:color w:val="auto"/>
        </w:rPr>
      </w:pPr>
      <w:r>
        <w:rPr>
          <w:rFonts w:ascii="Arial" w:cs="Arial" w:eastAsia="Arial" w:hAnsi="Arial"/>
          <w:sz w:val="16"/>
          <w:szCs w:val="16"/>
          <w:i w:val="1"/>
          <w:iCs w:val="1"/>
          <w:color w:val="auto"/>
        </w:rPr>
        <w:t xml:space="preserve">Clawback. </w:t>
      </w:r>
      <w:r>
        <w:rPr>
          <w:rFonts w:ascii="Arial" w:cs="Arial" w:eastAsia="Arial" w:hAnsi="Arial"/>
          <w:sz w:val="16"/>
          <w:szCs w:val="16"/>
          <w:color w:val="auto"/>
        </w:rPr>
        <w:t>Awards granted under the 2019 Plan and any cash payment or shares of our common stock delivered pursuant to an award are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forfeiture, recovery, or other action pursuant to the applicable award agreement or any clawback or recoupment policy that we may adopt.</w:t>
      </w:r>
    </w:p>
    <w:p>
      <w:pPr>
        <w:spacing w:after="0" w:line="139"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i w:val="1"/>
          <w:iCs w:val="1"/>
          <w:color w:val="auto"/>
        </w:rPr>
        <w:t xml:space="preserve">Plan termination and amendment. </w:t>
      </w:r>
      <w:r>
        <w:rPr>
          <w:rFonts w:ascii="Arial" w:cs="Arial" w:eastAsia="Arial" w:hAnsi="Arial"/>
          <w:sz w:val="18"/>
          <w:szCs w:val="18"/>
          <w:color w:val="auto"/>
        </w:rPr>
        <w:t>Our board of directors has the authority to amend, suspend, or terminate the 2019 Plan, subject to any requirement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approval required by law or stock</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2" w:name="page173"/>
    <w:bookmarkEnd w:id="172"/>
    <w:p>
      <w:pPr>
        <w:spacing w:after="0"/>
        <w:rPr>
          <w:sz w:val="20"/>
          <w:szCs w:val="20"/>
          <w:color w:val="auto"/>
        </w:rPr>
      </w:pPr>
      <w:r>
        <w:rPr>
          <w:rFonts w:ascii="Arial" w:cs="Arial" w:eastAsia="Arial" w:hAnsi="Arial"/>
          <w:sz w:val="16"/>
          <w:szCs w:val="16"/>
          <w:color w:val="auto"/>
        </w:rPr>
        <w:t>exchange rules. Our 2019 Plan will terminate on the ten-year anniversary of its approval by our board of directors, unless we terminate it earlier.</w:t>
      </w:r>
    </w:p>
    <w:p>
      <w:pPr>
        <w:spacing w:after="0" w:line="248"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i w:val="1"/>
          <w:iCs w:val="1"/>
          <w:color w:val="auto"/>
        </w:rPr>
        <w:t xml:space="preserve">New plan benefits. </w:t>
      </w:r>
      <w:r>
        <w:rPr>
          <w:rFonts w:ascii="Arial" w:cs="Arial" w:eastAsia="Arial" w:hAnsi="Arial"/>
          <w:sz w:val="16"/>
          <w:szCs w:val="16"/>
          <w:color w:val="auto"/>
        </w:rPr>
        <w:t>The compensation committee has the discretion to grant awards under the 2019 Plan, and therefore it is not possible at the time of filing</w:t>
      </w:r>
      <w:r>
        <w:rPr>
          <w:rFonts w:ascii="Arial" w:cs="Arial" w:eastAsia="Arial" w:hAnsi="Arial"/>
          <w:sz w:val="16"/>
          <w:szCs w:val="16"/>
          <w:i w:val="1"/>
          <w:iCs w:val="1"/>
          <w:color w:val="auto"/>
        </w:rPr>
        <w:t xml:space="preserve"> </w:t>
      </w:r>
      <w:r>
        <w:rPr>
          <w:rFonts w:ascii="Arial" w:cs="Arial" w:eastAsia="Arial" w:hAnsi="Arial"/>
          <w:sz w:val="16"/>
          <w:szCs w:val="16"/>
          <w:color w:val="auto"/>
        </w:rPr>
        <w:t>of this prospectus to determine future awards that will be received by our named executive officers or others under the 2019 Plan. All officers, directors, employees, consultants, agents and independent contractors of the Company and its subsidiaries are eligible for consideration to participate in the 2019 Plan.</w:t>
      </w:r>
    </w:p>
    <w:p>
      <w:pPr>
        <w:spacing w:after="0" w:line="16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connection with this offering, our board of directors granted stock option awards to certain employees of the Company with respect to an aggregate amount of 807,353 shares, and with an exercise price equal to the initial public offering price and which vest 25% on the one-year anniversary of the date of grant and monthly thereafter, subject to early vesting in the event of a change in control or certain terminations of employment.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25"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In connection with this offering, our board of directors will adopt and our current stockholders expect to approve the Aprea Therapeutics, Inc. Employee Stock Purchase Plan, or the ESPP, to be effective upon the completion of this offering.</w:t>
      </w:r>
    </w:p>
    <w:p>
      <w:pPr>
        <w:spacing w:after="0" w:line="186"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Generally, all of our employees (including those of our consolidated subsidiaries, other than those subsidiaries excluded from participation by our board of directors or compensation committee) who have been employed for at least 90 days are eligible to participate in the ESPP. The ESPP permits employees to purchase our common stock through payroll deductions during six-month offering periods. Participants may authorize payroll deductions of a specific percentage of compensation of up to 15%, with such deductions being accumulated for six-month purchase periods beginning on the first business day of each offering period and ending on the last business day of each offering period. Under the terms of the ESPP, the purchase price per share with respect to an offering period will equal the lesser of (i) 85% of the fair market value of a share of our common stock on the first business day of such offering period and (ii) 85% of the fair market value of a share of our common stock on the last business day of such offering period, although the compensation committee has discretion to change the purchase price with respect to future offering periods, subject to the terms of the ESPP. No employee may participate in an offering period if the employee owns 5% or more of the total combined voting power or value of our stock or the stock of any of our subsidiaries. No participant may purchase more than 5,000 shares of our common stock during any offering period.</w:t>
      </w:r>
    </w:p>
    <w:p>
      <w:pPr>
        <w:spacing w:after="0" w:line="177" w:lineRule="exact"/>
        <w:rPr>
          <w:sz w:val="20"/>
          <w:szCs w:val="20"/>
          <w:color w:val="auto"/>
        </w:rPr>
      </w:pPr>
    </w:p>
    <w:p>
      <w:pPr>
        <w:jc w:val="both"/>
        <w:ind w:right="120" w:firstLine="351"/>
        <w:spacing w:after="0" w:line="294" w:lineRule="auto"/>
        <w:rPr>
          <w:sz w:val="20"/>
          <w:szCs w:val="20"/>
          <w:color w:val="auto"/>
        </w:rPr>
      </w:pPr>
      <w:r>
        <w:rPr>
          <w:rFonts w:ascii="Arial" w:cs="Arial" w:eastAsia="Arial" w:hAnsi="Arial"/>
          <w:sz w:val="16"/>
          <w:szCs w:val="16"/>
          <w:color w:val="auto"/>
        </w:rPr>
        <w:t>250,000 shares of our common stock, subject to adjustment for stock splits, stock dividends or other changes in our common stock, have been reserved for issuance under the ESPP. Subject to the adjustment provisions contained in the ESPP, the maximum number of shares of our common stock available under the ESPP will automatically increase on the first trading day in January of each calendar year, commencing January 1, 2020, by an amount equal to the lesser of 1% of the shares of our common stock issued and outstanding on December 31 of the immediately preceding calendar year, 250,000 shares of our common stock or such lesser amount as is determined by our board of directors.</w:t>
      </w:r>
    </w:p>
    <w:p>
      <w:pPr>
        <w:spacing w:after="0" w:line="170"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ESPP will be administered by the compensation committee or a designee of the compensation committee. The ESPP may be amended by our board of directors or the compensation committee but may not be amended without prior stockholder approval to the extent required by Section 423 of the Code. The ESPP shall continue in effect until the earlier of (i) the termination of the ESPP by our board of directors or the compensation committee pursuant to the terms of the ESPP and (ii) the ten-year anniversary of the effective date of the ESPP, with no new offering periods commencing on or after such ten-year anniversary.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3" w:name="page174"/>
    <w:bookmarkEnd w:id="173"/>
    <w:p>
      <w:pPr>
        <w:jc w:val="center"/>
        <w:ind w:right="40"/>
        <w:spacing w:after="0"/>
        <w:rPr>
          <w:sz w:val="20"/>
          <w:szCs w:val="20"/>
          <w:color w:val="auto"/>
        </w:rPr>
      </w:pPr>
      <w:r>
        <w:rPr>
          <w:rFonts w:ascii="Arial" w:cs="Arial" w:eastAsia="Arial" w:hAnsi="Arial"/>
          <w:sz w:val="18"/>
          <w:szCs w:val="18"/>
          <w:b w:val="1"/>
          <w:bCs w:val="1"/>
          <w:color w:val="auto"/>
        </w:rPr>
        <w:t>Certain relationships and related persons transactions</w:t>
      </w:r>
    </w:p>
    <w:p>
      <w:pPr>
        <w:spacing w:after="0" w:line="231"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Since January 1, 2016, we have engaged in the following transactions in which the amount involved exceeded $120,000 and any of our directors, executive officers or beneficial holders of more than 5% of any class of our voting securities, or any of their affiliates, had a material interest. We believe that all of these transactions were on terms comparable to terms that could have been obtained from unrelated third parties.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stock financing</w:t>
      </w:r>
    </w:p>
    <w:p>
      <w:pPr>
        <w:spacing w:after="0" w:line="23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 October 2011, the board of Aprea AB resolved to issue 145,469 Series A preferred shares in Aprea AB at a price per share of $22.22, for an aggregate purchase price of $3.2 million. In March 2016, Aprea AB issued 466,977 Series A preferred shares in Aprea AB at a price per share of $6.96 in connection with the repayment of loans made to the Company by KDev Group (includes KDev Investments, KCIF Co-Investment Fund KB and Karolinska Development). These Series A preferred shares in Aprea AB were contributed and exchanged for shares of Series A preferred stock in the Company in connection with the Holdco Reorganization. The following table sets forth the number of shares of our Series A preferred stock owned by our directors, executive officers and 5% stockholders, and their affiliates, and the aggregate purchase price paid for those shares, in each case, after giving effect to the Holdco Reorganization.</w:t>
      </w:r>
    </w:p>
    <w:p>
      <w:pPr>
        <w:spacing w:after="0" w:line="15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Series A</w:t>
            </w: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preferred stock</w:t>
            </w: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purchase</w:t>
            </w:r>
          </w:p>
        </w:tc>
        <w:tc>
          <w:tcPr>
            <w:tcW w:w="0" w:type="dxa"/>
            <w:vAlign w:val="bottom"/>
          </w:tcPr>
          <w:p>
            <w:pPr>
              <w:spacing w:after="0"/>
              <w:rPr>
                <w:sz w:val="1"/>
                <w:szCs w:val="1"/>
                <w:color w:val="auto"/>
              </w:rPr>
            </w:pPr>
          </w:p>
        </w:tc>
      </w:tr>
      <w:tr>
        <w:trPr>
          <w:trHeight w:val="161"/>
        </w:trPr>
        <w:tc>
          <w:tcPr>
            <w:tcW w:w="568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purchased</w:t>
            </w: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price(1)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KDev Group</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579,647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  5,753,978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35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60" w:hanging="540"/>
        <w:spacing w:after="0"/>
        <w:tabs>
          <w:tab w:leader="none" w:pos="22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Includes $3,249,627 in connection with the repayment of loans made to the Company.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preferred stock financing</w:t>
      </w:r>
    </w:p>
    <w:p>
      <w:pPr>
        <w:spacing w:after="0" w:line="23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March 2016, Aprea AB, the shareholders of the Company and a number of investors entered into a Series B investment agreement for the issue of up to 7,235,969 Series B preferred shares in Aprea AB in one or more closings. In March 2016, Aprea AB issued 3,322,762 Series B preferred shares at a price per share of $6.81, for an aggregate purchase price of $22.6 million,. In March 2016, Aprea AB also issued 590,445 Series B preferred shares in Aprea AB at a price per share of $6.81 in connection with the repayment of loans made to the Company by existing investors totaling $4.1 million. In October 2017, Aprea AB issued 3,322,762 Series B preferred shares at a price per share of $7.02, for an aggregate purchase price of $23.3 million. These Series B preferred shares in Aprea AB were contributed and exchanged for shares of Series B preferred stock in the Company in connection with the Holdco Reorganization. The following table sets forth the number of shares of our Series B preferred stock owned by our directors, executive officers and 5% stockholders, and their affiliates, and the aggregate purchase price paid for those shares, in each case, after giving effect to the Holdco Reorganization.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Shares 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Series B</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40" w:type="dxa"/>
            <w:vAlign w:val="bottom"/>
            <w:gridSpan w:val="3"/>
          </w:tcPr>
          <w:p>
            <w:pPr>
              <w:jc w:val="center"/>
              <w:ind w:right="202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1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preferred stock</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40" w:type="dxa"/>
            <w:vAlign w:val="bottom"/>
            <w:gridSpan w:val="3"/>
          </w:tcPr>
          <w:p>
            <w:pPr>
              <w:jc w:val="center"/>
              <w:ind w:right="2020"/>
              <w:spacing w:after="0" w:line="149" w:lineRule="exact"/>
              <w:rPr>
                <w:sz w:val="20"/>
                <w:szCs w:val="20"/>
                <w:color w:val="auto"/>
              </w:rPr>
            </w:pPr>
            <w:r>
              <w:rPr>
                <w:rFonts w:ascii="Arial" w:cs="Arial" w:eastAsia="Arial" w:hAnsi="Arial"/>
                <w:sz w:val="14"/>
                <w:szCs w:val="14"/>
                <w:b w:val="1"/>
                <w:bCs w:val="1"/>
                <w:color w:val="auto"/>
                <w:w w:val="83"/>
              </w:rPr>
              <w:t>purchase</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5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4"/>
              </w:rPr>
              <w:t>purchased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40" w:type="dxa"/>
            <w:vAlign w:val="bottom"/>
            <w:gridSpan w:val="3"/>
          </w:tcPr>
          <w:p>
            <w:pPr>
              <w:jc w:val="center"/>
              <w:ind w:right="2020"/>
              <w:spacing w:after="0"/>
              <w:rPr>
                <w:sz w:val="20"/>
                <w:szCs w:val="20"/>
                <w:color w:val="auto"/>
              </w:rPr>
            </w:pPr>
            <w:r>
              <w:rPr>
                <w:rFonts w:ascii="Arial" w:cs="Arial" w:eastAsia="Arial" w:hAnsi="Arial"/>
                <w:sz w:val="14"/>
                <w:szCs w:val="14"/>
                <w:b w:val="1"/>
                <w:bCs w:val="1"/>
                <w:color w:val="auto"/>
                <w:w w:val="83"/>
              </w:rPr>
              <w:t>price</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5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5AM Ventures</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1,993,658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13,783,254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Arial" w:cs="Arial" w:eastAsia="Arial" w:hAnsi="Arial"/>
                <w:sz w:val="18"/>
                <w:szCs w:val="18"/>
                <w:color w:val="auto"/>
              </w:rPr>
              <w:t>HealthCap</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1,661,382</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11,490,331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KDev Group(1)</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590,445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4,108,818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Arial" w:cs="Arial" w:eastAsia="Arial" w:hAnsi="Arial"/>
                <w:sz w:val="18"/>
                <w:szCs w:val="18"/>
                <w:color w:val="auto"/>
              </w:rPr>
              <w:t>Sectoral Asset Management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996,826</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6,898,961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3"/>
              </w:rPr>
              <w:t>Versant</w:t>
            </w:r>
          </w:p>
        </w:tc>
        <w:tc>
          <w:tcPr>
            <w:tcW w:w="158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1,993,658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13,786,556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34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1"/>
        </w:trPr>
        <w:tc>
          <w:tcPr>
            <w:tcW w:w="2060" w:type="dxa"/>
            <w:vAlign w:val="bottom"/>
            <w:gridSpan w:val="2"/>
          </w:tcPr>
          <w:p>
            <w:pPr>
              <w:ind w:left="1720"/>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24"/>
                <w:szCs w:val="24"/>
                <w:color w:val="auto"/>
              </w:rPr>
            </w:pPr>
          </w:p>
        </w:tc>
        <w:tc>
          <w:tcPr>
            <w:tcW w:w="5040" w:type="dxa"/>
            <w:vAlign w:val="bottom"/>
            <w:gridSpan w:val="2"/>
          </w:tcPr>
          <w:p>
            <w:pPr>
              <w:jc w:val="right"/>
              <w:ind w:right="380"/>
              <w:spacing w:after="0"/>
              <w:rPr>
                <w:sz w:val="20"/>
                <w:szCs w:val="20"/>
                <w:color w:val="auto"/>
              </w:rPr>
            </w:pPr>
            <w:r>
              <w:rPr>
                <w:rFonts w:ascii="Arial" w:cs="Arial" w:eastAsia="Arial" w:hAnsi="Arial"/>
                <w:sz w:val="14"/>
                <w:szCs w:val="14"/>
                <w:color w:val="auto"/>
                <w:w w:val="87"/>
              </w:rPr>
              <w:t>Includes $4,108,818 in connection with the repayment of loans made to the Company.</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40" w:type="dxa"/>
            <w:vAlign w:val="bottom"/>
            <w:gridSpan w:val="2"/>
          </w:tcPr>
          <w:p>
            <w:pPr>
              <w:jc w:val="right"/>
              <w:ind w:right="1460"/>
              <w:spacing w:after="0"/>
              <w:rPr>
                <w:sz w:val="20"/>
                <w:szCs w:val="20"/>
                <w:color w:val="auto"/>
              </w:rPr>
            </w:pPr>
            <w:r>
              <w:rPr>
                <w:rFonts w:ascii="Arial" w:cs="Arial" w:eastAsia="Arial" w:hAnsi="Arial"/>
                <w:sz w:val="18"/>
                <w:szCs w:val="18"/>
                <w:color w:val="auto"/>
              </w:rPr>
              <w:t>170</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34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color w:val="auto"/>
        </w:rPr>
        <w:t>Series C preferred stock financing</w:t>
      </w:r>
    </w:p>
    <w:p>
      <w:pPr>
        <w:spacing w:after="0" w:line="231"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In November 2018, Aprea AB, certain shareholders of the Company and a number of investors entered into a Series C investment agreement for the issue of 4,712,698 Series C preferred shares in Aprea AB at a price per share of $12.08, for an aggregate purchase price of $56.7 million. In February 2019, Aprea AB, certain shareholders of the Company and a number of investors entered into an additional Series C investment agreement for the issue of 467,179 Series C preferred shares in Aprea AB at a price per share of $12.10, for an aggregate purchase price of $5.6 million. These Series C preferred shares in Aprea AB were contributed and exchanged for shares of Series C preferred stock in the Company in connection with the Holdco Reorganization. The following table sets forth the number of shares of our Series C preferred stock owned by our directors, executive officers and 5% stockholders, and their affiliates, and the aggregate purchase price paid for those shares, in each case, after giving effect to the Holdco Reorganization.</w:t>
      </w:r>
    </w:p>
    <w:p>
      <w:pPr>
        <w:spacing w:after="0" w:line="15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Shares 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1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Series C</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1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preferred stock</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purchase</w:t>
            </w:r>
          </w:p>
        </w:tc>
        <w:tc>
          <w:tcPr>
            <w:tcW w:w="0" w:type="dxa"/>
            <w:vAlign w:val="bottom"/>
          </w:tcPr>
          <w:p>
            <w:pPr>
              <w:spacing w:after="0"/>
              <w:rPr>
                <w:sz w:val="1"/>
                <w:szCs w:val="1"/>
                <w:color w:val="auto"/>
              </w:rPr>
            </w:pPr>
          </w:p>
        </w:tc>
      </w:tr>
      <w:tr>
        <w:trPr>
          <w:trHeight w:val="161"/>
        </w:trPr>
        <w:tc>
          <w:tcPr>
            <w:tcW w:w="558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4"/>
              </w:rPr>
              <w:t>purchased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5AM Ventures</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512,994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6,164,954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3"/>
          </w:tcPr>
          <w:p>
            <w:pPr>
              <w:spacing w:after="0"/>
              <w:rPr>
                <w:sz w:val="20"/>
                <w:szCs w:val="20"/>
                <w:color w:val="auto"/>
              </w:rPr>
            </w:pPr>
            <w:r>
              <w:rPr>
                <w:rFonts w:ascii="Arial" w:cs="Arial" w:eastAsia="Arial" w:hAnsi="Arial"/>
                <w:sz w:val="18"/>
                <w:szCs w:val="18"/>
                <w:color w:val="auto"/>
              </w:rPr>
              <w:t>HealthCap</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427,496</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5,147,150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KDev Group</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430,467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5,180,090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3"/>
          </w:tcPr>
          <w:p>
            <w:pPr>
              <w:spacing w:after="0"/>
              <w:rPr>
                <w:sz w:val="20"/>
                <w:szCs w:val="20"/>
                <w:color w:val="auto"/>
              </w:rPr>
            </w:pPr>
            <w:r>
              <w:rPr>
                <w:rFonts w:ascii="Arial" w:cs="Arial" w:eastAsia="Arial" w:hAnsi="Arial"/>
                <w:sz w:val="18"/>
                <w:szCs w:val="18"/>
                <w:color w:val="auto"/>
              </w:rPr>
              <w:t>Redmile(1)</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1,868,718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22,472,429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Sectoral Asset Management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467,179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5,614,984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gridSpan w:val="3"/>
          </w:tcPr>
          <w:p>
            <w:pPr>
              <w:spacing w:after="0"/>
              <w:rPr>
                <w:sz w:val="20"/>
                <w:szCs w:val="20"/>
                <w:color w:val="auto"/>
              </w:rPr>
            </w:pPr>
            <w:r>
              <w:rPr>
                <w:rFonts w:ascii="Arial" w:cs="Arial" w:eastAsia="Arial" w:hAnsi="Arial"/>
                <w:sz w:val="18"/>
                <w:szCs w:val="18"/>
                <w:color w:val="auto"/>
              </w:rPr>
              <w:t>Versant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512,995</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6,197,369</w:t>
            </w: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34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60" w:hanging="540"/>
        <w:spacing w:after="0"/>
        <w:tabs>
          <w:tab w:leader="none" w:pos="22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Includes 1,454,926 shares held by Redmile Biopharma Investments I, L.P. and 413,792 shares held by RAF L.P.</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are a party to an amended and restated registration rights agreement, dated as of September 20, 2019 (the "Registration Rights Agreement"), with our existing stockholders, including certain holders of five percent or more of our common stock and their affiliates and entities affiliated with certain of our directors. The Registration Rights Agreement provides these holders the right, following the completion of this offering, to demand that we file a registration statement or request that their shares be covered by a registration statement that we are otherwise filing. See "Description of Capital Stock—Registration Rights" for additional information regarding these registration rights.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See the "Executive Compensation—Employment agreements, severance and change in control agreements" section of this prospectus for a further discussion of these arrangements.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3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Our amended and restated certificate of incorporation, which will become effective immediately prior to the completion of this offering, provides that we will indemnify our directors and officers to the fullest extent permitted by Delaware law. In addition, we plan to enter into indemnification agreements with each of our officers and directors that may be broader in scope than the specific indemnification provisions contained in the Delaware General Corporation Law. See "Management—Limitation on Liability and Indemnification" for additional information regarding these agreements.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Following this offering, pursuant to the written charter of our audit committee adopted in September of 2019, our audit committee of the board of directors will be responsible for reviewing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5" w:name="page176"/>
    <w:bookmarkEnd w:id="175"/>
    <w:p>
      <w:pPr>
        <w:spacing w:after="0" w:line="256" w:lineRule="auto"/>
        <w:rPr>
          <w:sz w:val="20"/>
          <w:szCs w:val="20"/>
          <w:color w:val="auto"/>
        </w:rPr>
      </w:pPr>
      <w:r>
        <w:rPr>
          <w:rFonts w:ascii="Arial" w:cs="Arial" w:eastAsia="Arial" w:hAnsi="Arial"/>
          <w:sz w:val="18"/>
          <w:szCs w:val="18"/>
          <w:color w:val="auto"/>
        </w:rPr>
        <w:t>approving, prior to our entry into any such transaction, all related person transaction s involving a principal stockholder, a member of the board of directors, senior management or an immediate family member of any of the aforementioned individuals. In addition, our code of business conduct and ethics requires that our officers and employees avoid taking for themselves personally opportunities that are discovered through the use of our property, information or position or use of our property, information or position for personal gain.</w:t>
      </w:r>
    </w:p>
    <w:p>
      <w:pPr>
        <w:spacing w:after="0" w:line="1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176" w:name="page177"/>
    <w:bookmarkEnd w:id="176"/>
    <w:p>
      <w:pPr>
        <w:jc w:val="center"/>
        <w:ind w:right="20"/>
        <w:spacing w:after="0"/>
        <w:rPr>
          <w:sz w:val="20"/>
          <w:szCs w:val="20"/>
          <w:color w:val="auto"/>
        </w:rPr>
      </w:pPr>
      <w:r>
        <w:rPr>
          <w:rFonts w:ascii="Arial" w:cs="Arial" w:eastAsia="Arial" w:hAnsi="Arial"/>
          <w:sz w:val="18"/>
          <w:szCs w:val="18"/>
          <w:b w:val="1"/>
          <w:bCs w:val="1"/>
          <w:color w:val="auto"/>
        </w:rPr>
        <w:t>Principal Stockholders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with respect to the beneficial ownership of our common stock as of September 26, 2019 by:</w:t>
      </w:r>
    </w:p>
    <w:p>
      <w:pPr>
        <w:spacing w:after="0" w:line="239" w:lineRule="exact"/>
        <w:rPr>
          <w:sz w:val="20"/>
          <w:szCs w:val="20"/>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number of shares beneficially owned by each entity, person, director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September 26, 2019, through the exercise of any stock option or other rights. Except as otherwise indicated, and subject to applicable community property laws, the persons named in the table have sole voting and investment power with respect to all shares of common stock held by that person.</w:t>
      </w:r>
    </w:p>
    <w:p>
      <w:pPr>
        <w:spacing w:after="0" w:line="170"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percentage of shares beneficially owned is computed on the basis of 14,209,865 shares of our common stock outstanding as of September 26, 2019, which reflects the 1 for 1.6045 split of our common stock which took place on September 26, 2019 and the conversion of all outstanding shares of convertible preferred stock, including the shares issued as part of the Holdco Reorganization, into 13,028,292 shares of common stock immediately prior to the completion of this offering. The percentage of shares beneficially owned after this offering is computed on the basis of shares of common stock outstanding immediately after the completion of this offering (assuming no exercise of the underwriters' option to purchase additional shares of our common stock). Shares of our common stock that a person has the right to acquire within 60 days of September 26, 2019,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w:t>
      </w:r>
    </w:p>
    <w:p>
      <w:pPr>
        <w:spacing w:after="0" w:line="172"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table below does not reflect any shares of common stock that directors, executive officers and entities may purchase in this offering through the directed share program described under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7" w:name="page178"/>
    <w:bookmarkEnd w:id="177"/>
    <w:p>
      <w:pPr>
        <w:ind w:right="80"/>
        <w:spacing w:after="0" w:line="268" w:lineRule="auto"/>
        <w:rPr>
          <w:sz w:val="20"/>
          <w:szCs w:val="20"/>
          <w:color w:val="auto"/>
        </w:rPr>
      </w:pPr>
      <w:r>
        <w:rPr>
          <w:rFonts w:ascii="Arial" w:cs="Arial" w:eastAsia="Arial" w:hAnsi="Arial"/>
          <w:sz w:val="18"/>
          <w:szCs w:val="18"/>
          <w:color w:val="auto"/>
        </w:rPr>
        <w:t>"Underwriting—Directed Share Program." Unless otherwise indicated below, the address for each beneficial owner listed is c/o Aprea Therapeutics, Inc., at 535 Boylston Street, Boston, MA 02116.</w:t>
      </w:r>
    </w:p>
    <w:p>
      <w:pPr>
        <w:spacing w:after="0" w:line="18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4"/>
              </w:rPr>
              <w:t>Percentage of</w:t>
            </w: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shares</w:t>
            </w:r>
          </w:p>
        </w:tc>
      </w:tr>
      <w:tr>
        <w:trPr>
          <w:trHeight w:val="175"/>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Number of</w:t>
            </w:r>
          </w:p>
        </w:tc>
        <w:tc>
          <w:tcPr>
            <w:tcW w:w="15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6"/>
              </w:rPr>
              <w:t>beneficially</w:t>
            </w:r>
          </w:p>
        </w:tc>
      </w:tr>
      <w:tr>
        <w:trPr>
          <w:trHeight w:val="135"/>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08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shares</w:t>
            </w:r>
          </w:p>
        </w:tc>
        <w:tc>
          <w:tcPr>
            <w:tcW w:w="1340" w:type="dxa"/>
            <w:vAlign w:val="bottom"/>
            <w:tcBorders>
              <w:bottom w:val="single" w:sz="8" w:color="auto"/>
            </w:tcBorders>
            <w:gridSpan w:val="3"/>
          </w:tcPr>
          <w:p>
            <w:pPr>
              <w:jc w:val="center"/>
              <w:spacing w:after="0" w:line="115" w:lineRule="exact"/>
              <w:rPr>
                <w:sz w:val="20"/>
                <w:szCs w:val="20"/>
                <w:color w:val="auto"/>
              </w:rPr>
            </w:pPr>
            <w:r>
              <w:rPr>
                <w:rFonts w:ascii="Arial" w:cs="Arial" w:eastAsia="Arial" w:hAnsi="Arial"/>
                <w:sz w:val="12"/>
                <w:szCs w:val="12"/>
                <w:b w:val="1"/>
                <w:bCs w:val="1"/>
                <w:color w:val="auto"/>
                <w:w w:val="99"/>
              </w:rPr>
              <w:t>owned</w:t>
            </w:r>
          </w:p>
        </w:tc>
        <w:tc>
          <w:tcPr>
            <w:tcW w:w="160" w:type="dxa"/>
            <w:vAlign w:val="bottom"/>
          </w:tcPr>
          <w:p>
            <w:pPr>
              <w:spacing w:after="0"/>
              <w:rPr>
                <w:sz w:val="11"/>
                <w:szCs w:val="11"/>
                <w:color w:val="auto"/>
              </w:rPr>
            </w:pPr>
          </w:p>
        </w:tc>
      </w:tr>
      <w:tr>
        <w:trPr>
          <w:trHeight w:val="156"/>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08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w w:val="86"/>
              </w:rPr>
              <w:t>beneficially</w:t>
            </w:r>
          </w:p>
        </w:tc>
        <w:tc>
          <w:tcPr>
            <w:tcW w:w="740" w:type="dxa"/>
            <w:vAlign w:val="bottom"/>
            <w:gridSpan w:val="2"/>
          </w:tcPr>
          <w:p>
            <w:pPr>
              <w:jc w:val="right"/>
              <w:ind w:right="260"/>
              <w:spacing w:after="0" w:line="156" w:lineRule="exact"/>
              <w:rPr>
                <w:sz w:val="20"/>
                <w:szCs w:val="20"/>
                <w:color w:val="auto"/>
              </w:rPr>
            </w:pPr>
            <w:r>
              <w:rPr>
                <w:rFonts w:ascii="Arial" w:cs="Arial" w:eastAsia="Arial" w:hAnsi="Arial"/>
                <w:sz w:val="14"/>
                <w:szCs w:val="14"/>
                <w:b w:val="1"/>
                <w:bCs w:val="1"/>
                <w:color w:val="auto"/>
              </w:rPr>
              <w:t>Before</w:t>
            </w:r>
          </w:p>
        </w:tc>
        <w:tc>
          <w:tcPr>
            <w:tcW w:w="760" w:type="dxa"/>
            <w:vAlign w:val="bottom"/>
            <w:gridSpan w:val="2"/>
          </w:tcPr>
          <w:p>
            <w:pPr>
              <w:jc w:val="right"/>
              <w:ind w:right="300"/>
              <w:spacing w:after="0" w:line="156" w:lineRule="exact"/>
              <w:rPr>
                <w:sz w:val="20"/>
                <w:szCs w:val="20"/>
                <w:color w:val="auto"/>
              </w:rPr>
            </w:pPr>
            <w:r>
              <w:rPr>
                <w:rFonts w:ascii="Arial" w:cs="Arial" w:eastAsia="Arial" w:hAnsi="Arial"/>
                <w:sz w:val="14"/>
                <w:szCs w:val="14"/>
                <w:b w:val="1"/>
                <w:bCs w:val="1"/>
                <w:color w:val="auto"/>
              </w:rPr>
              <w:t>After</w:t>
            </w:r>
          </w:p>
        </w:tc>
      </w:tr>
      <w:tr>
        <w:trPr>
          <w:trHeight w:val="161"/>
        </w:trPr>
        <w:tc>
          <w:tcPr>
            <w:tcW w:w="5400" w:type="dxa"/>
            <w:vAlign w:val="bottom"/>
            <w:gridSpan w:val="4"/>
          </w:tcPr>
          <w:p>
            <w:pPr>
              <w:spacing w:after="0"/>
              <w:rPr>
                <w:sz w:val="20"/>
                <w:szCs w:val="20"/>
                <w:color w:val="auto"/>
              </w:rPr>
            </w:pPr>
            <w:r>
              <w:rPr>
                <w:rFonts w:ascii="Arial" w:cs="Arial" w:eastAsia="Arial" w:hAnsi="Arial"/>
                <w:sz w:val="14"/>
                <w:szCs w:val="14"/>
                <w:b w:val="1"/>
                <w:bCs w:val="1"/>
                <w:color w:val="auto"/>
              </w:rPr>
              <w:t>Name of beneficial owner</w:t>
            </w: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owned</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offering</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offering</w:t>
            </w:r>
          </w:p>
        </w:tc>
      </w:tr>
      <w:tr>
        <w:trPr>
          <w:trHeight w:val="210"/>
        </w:trPr>
        <w:tc>
          <w:tcPr>
            <w:tcW w:w="20" w:type="dxa"/>
            <w:vAlign w:val="bottom"/>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w w:val="89"/>
              </w:rPr>
              <w:t>5.0% Stockholders</w:t>
            </w:r>
          </w:p>
        </w:tc>
        <w:tc>
          <w:tcPr>
            <w:tcW w:w="3920" w:type="dxa"/>
            <w:vAlign w:val="bottom"/>
            <w:gridSpan w:val="2"/>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rPr>
              <w:t>KDev Group(1)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2,444,837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17.21%</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12.30%</w:t>
            </w:r>
          </w:p>
        </w:tc>
      </w:tr>
      <w:tr>
        <w:trPr>
          <w:trHeight w:val="216"/>
        </w:trPr>
        <w:tc>
          <w:tcPr>
            <w:tcW w:w="20" w:type="dxa"/>
            <w:vAlign w:val="bottom"/>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Versant(2)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2,519,322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12.67%</w:t>
            </w:r>
          </w:p>
        </w:tc>
      </w:tr>
      <w:tr>
        <w:trPr>
          <w:trHeight w:val="216"/>
        </w:trPr>
        <w:tc>
          <w:tcPr>
            <w:tcW w:w="20" w:type="dxa"/>
            <w:vAlign w:val="bottom"/>
          </w:tcPr>
          <w:p>
            <w:pPr>
              <w:spacing w:after="0"/>
              <w:rPr>
                <w:sz w:val="18"/>
                <w:szCs w:val="18"/>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rPr>
              <w:t>5AM Ventures(3)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2,519,320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17.73%</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12.67%</w:t>
            </w:r>
          </w:p>
        </w:tc>
      </w:tr>
      <w:tr>
        <w:trPr>
          <w:trHeight w:val="216"/>
        </w:trPr>
        <w:tc>
          <w:tcPr>
            <w:tcW w:w="20" w:type="dxa"/>
            <w:vAlign w:val="bottom"/>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HealthCap(4)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2,099,438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10.56%</w:t>
            </w:r>
          </w:p>
        </w:tc>
      </w:tr>
      <w:tr>
        <w:trPr>
          <w:trHeight w:val="216"/>
        </w:trPr>
        <w:tc>
          <w:tcPr>
            <w:tcW w:w="20" w:type="dxa"/>
            <w:vAlign w:val="bottom"/>
          </w:tcPr>
          <w:p>
            <w:pPr>
              <w:spacing w:after="0"/>
              <w:rPr>
                <w:sz w:val="18"/>
                <w:szCs w:val="18"/>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rPr>
              <w:t>Redmile Group(5)</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1,868,718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13.15%</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9.40%</w:t>
            </w:r>
          </w:p>
        </w:tc>
      </w:tr>
      <w:tr>
        <w:trPr>
          <w:trHeight w:val="216"/>
        </w:trPr>
        <w:tc>
          <w:tcPr>
            <w:tcW w:w="20" w:type="dxa"/>
            <w:vAlign w:val="bottom"/>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Sectoral Asset Management(6)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1,470,339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w:t>
            </w:r>
          </w:p>
        </w:tc>
      </w:tr>
      <w:tr>
        <w:trPr>
          <w:trHeight w:val="430"/>
        </w:trPr>
        <w:tc>
          <w:tcPr>
            <w:tcW w:w="540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Executive Officers and Directors</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Christian S. Schade(7)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553,327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w:t>
            </w:r>
          </w:p>
        </w:tc>
      </w:tr>
      <w:tr>
        <w:trPr>
          <w:trHeight w:val="216"/>
        </w:trPr>
        <w:tc>
          <w:tcPr>
            <w:tcW w:w="20" w:type="dxa"/>
            <w:vAlign w:val="bottom"/>
          </w:tcPr>
          <w:p>
            <w:pPr>
              <w:spacing w:after="0"/>
              <w:rPr>
                <w:sz w:val="18"/>
                <w:szCs w:val="18"/>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rPr>
              <w:t>Lars Abrahmsen, Ph.D.(8)</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122,666</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Eyal C. Attar, MD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rPr>
              <w:t>Scott M. Coiante</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Gregory A. Korbel, Ph.D.(9)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100,964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rPr>
              <w:t>Guido Magni, M.D., Ph.D.(2)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2,519,322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17.73%</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12.67%</w:t>
            </w:r>
          </w:p>
        </w:tc>
      </w:tr>
      <w:tr>
        <w:trPr>
          <w:trHeight w:val="216"/>
        </w:trPr>
        <w:tc>
          <w:tcPr>
            <w:tcW w:w="20" w:type="dxa"/>
            <w:vAlign w:val="bottom"/>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Scott M. Rocklage, Ph.D.(3)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2,519,320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12.67%</w:t>
            </w:r>
          </w:p>
        </w:tc>
      </w:tr>
      <w:tr>
        <w:trPr>
          <w:trHeight w:val="216"/>
        </w:trPr>
        <w:tc>
          <w:tcPr>
            <w:tcW w:w="20" w:type="dxa"/>
            <w:vAlign w:val="bottom"/>
          </w:tcPr>
          <w:p>
            <w:pPr>
              <w:spacing w:after="0"/>
              <w:rPr>
                <w:sz w:val="18"/>
                <w:szCs w:val="18"/>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rPr>
              <w:t>Johan Christenson, M.D., Ph.D.(4)</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2,099,438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14.77%</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10.56%</w:t>
            </w:r>
          </w:p>
        </w:tc>
      </w:tr>
      <w:tr>
        <w:trPr>
          <w:trHeight w:val="216"/>
        </w:trPr>
        <w:tc>
          <w:tcPr>
            <w:tcW w:w="20" w:type="dxa"/>
            <w:vAlign w:val="bottom"/>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Jonathan Hepple, Ph.D.(1)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1,992,591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10.02%</w:t>
            </w:r>
          </w:p>
        </w:tc>
      </w:tr>
      <w:tr>
        <w:trPr>
          <w:trHeight w:val="216"/>
        </w:trPr>
        <w:tc>
          <w:tcPr>
            <w:tcW w:w="20" w:type="dxa"/>
            <w:vAlign w:val="bottom"/>
          </w:tcPr>
          <w:p>
            <w:pPr>
              <w:spacing w:after="0"/>
              <w:rPr>
                <w:sz w:val="18"/>
                <w:szCs w:val="18"/>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rPr>
              <w:t>Bernd R. Seizinger, M.D., Ph.D.(10)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263,970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r>
      <w:tr>
        <w:trPr>
          <w:trHeight w:val="216"/>
        </w:trPr>
        <w:tc>
          <w:tcPr>
            <w:tcW w:w="20" w:type="dxa"/>
            <w:vAlign w:val="bottom"/>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B. Henneman III(11)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rPr>
              <w:t>All directors and executive officers as a group (11 persons)(12)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10,171,598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66.70%</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48.63%</w:t>
            </w:r>
          </w:p>
        </w:tc>
      </w:tr>
      <w:tr>
        <w:trPr>
          <w:trHeight w:val="102"/>
        </w:trPr>
        <w:tc>
          <w:tcPr>
            <w:tcW w:w="2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92" w:lineRule="exact"/>
        <w:rPr>
          <w:sz w:val="20"/>
          <w:szCs w:val="20"/>
          <w:color w:val="auto"/>
        </w:rPr>
      </w:pPr>
    </w:p>
    <w:p>
      <w:pPr>
        <w:ind w:left="2260" w:hanging="540"/>
        <w:spacing w:after="0"/>
        <w:tabs>
          <w:tab w:leader="none" w:pos="22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Represents beneficial ownership of less than 1% of our outstanding stock.</w:t>
      </w:r>
    </w:p>
    <w:p>
      <w:pPr>
        <w:spacing w:after="0" w:line="123" w:lineRule="exact"/>
        <w:rPr>
          <w:sz w:val="20"/>
          <w:szCs w:val="20"/>
          <w:color w:val="auto"/>
        </w:rPr>
      </w:pPr>
    </w:p>
    <w:p>
      <w:pPr>
        <w:ind w:left="2260" w:hanging="540"/>
        <w:spacing w:after="0"/>
        <w:tabs>
          <w:tab w:leader="none" w:pos="2260" w:val="left"/>
        </w:tabs>
        <w:numPr>
          <w:ilvl w:val="0"/>
          <w:numId w:val="96"/>
        </w:numPr>
        <w:rPr>
          <w:rFonts w:ascii="Arial" w:cs="Arial" w:eastAsia="Arial" w:hAnsi="Arial"/>
          <w:sz w:val="12"/>
          <w:szCs w:val="12"/>
          <w:color w:val="auto"/>
        </w:rPr>
      </w:pPr>
      <w:r>
        <w:rPr>
          <w:rFonts w:ascii="Arial" w:cs="Arial" w:eastAsia="Arial" w:hAnsi="Arial"/>
          <w:sz w:val="12"/>
          <w:szCs w:val="12"/>
          <w:color w:val="auto"/>
        </w:rPr>
        <w:t>Consists of (i) 481,909 shares of common stock issuable upon conversion of shares of Series A convertible preferred stock held of record by KDev Investments,</w:t>
      </w:r>
    </w:p>
    <w:p>
      <w:pPr>
        <w:spacing w:after="0" w:line="22" w:lineRule="exact"/>
        <w:rPr>
          <w:rFonts w:ascii="Arial" w:cs="Arial" w:eastAsia="Arial" w:hAnsi="Arial"/>
          <w:sz w:val="12"/>
          <w:szCs w:val="12"/>
          <w:color w:val="auto"/>
        </w:rPr>
      </w:pPr>
    </w:p>
    <w:p>
      <w:pPr>
        <w:ind w:left="2460" w:hanging="200"/>
        <w:spacing w:after="0"/>
        <w:tabs>
          <w:tab w:leader="none" w:pos="2460" w:val="left"/>
        </w:tabs>
        <w:numPr>
          <w:ilvl w:val="1"/>
          <w:numId w:val="96"/>
        </w:numPr>
        <w:rPr>
          <w:rFonts w:ascii="Arial" w:cs="Arial" w:eastAsia="Arial" w:hAnsi="Arial"/>
          <w:sz w:val="12"/>
          <w:szCs w:val="12"/>
          <w:color w:val="auto"/>
        </w:rPr>
      </w:pPr>
      <w:r>
        <w:rPr>
          <w:rFonts w:ascii="Arial" w:cs="Arial" w:eastAsia="Arial" w:hAnsi="Arial"/>
          <w:sz w:val="12"/>
          <w:szCs w:val="12"/>
          <w:color w:val="auto"/>
        </w:rPr>
        <w:t>37,169 shares of common stock issuable upon conversion of shares of Series A convertible preferred stock held of record by KCIF Co-Investment Fund KB,</w:t>
      </w:r>
    </w:p>
    <w:p>
      <w:pPr>
        <w:spacing w:after="0" w:line="10" w:lineRule="exact"/>
        <w:rPr>
          <w:rFonts w:ascii="Arial" w:cs="Arial" w:eastAsia="Arial" w:hAnsi="Arial"/>
          <w:sz w:val="12"/>
          <w:szCs w:val="12"/>
          <w:color w:val="auto"/>
        </w:rPr>
      </w:pPr>
    </w:p>
    <w:p>
      <w:pPr>
        <w:ind w:left="2260"/>
        <w:spacing w:after="0" w:line="258" w:lineRule="auto"/>
        <w:tabs>
          <w:tab w:leader="none" w:pos="2496" w:val="left"/>
        </w:tabs>
        <w:numPr>
          <w:ilvl w:val="1"/>
          <w:numId w:val="96"/>
        </w:numPr>
        <w:rPr>
          <w:rFonts w:ascii="Arial" w:cs="Arial" w:eastAsia="Arial" w:hAnsi="Arial"/>
          <w:sz w:val="12"/>
          <w:szCs w:val="12"/>
          <w:color w:val="auto"/>
        </w:rPr>
      </w:pPr>
      <w:r>
        <w:rPr>
          <w:rFonts w:ascii="Arial" w:cs="Arial" w:eastAsia="Arial" w:hAnsi="Arial"/>
          <w:sz w:val="12"/>
          <w:szCs w:val="12"/>
          <w:color w:val="auto"/>
        </w:rPr>
        <w:t>60,569 shares of common stock issuable upon conversion of shares of Series A convertible preferred stock held of record by Karolinska Development, (iv) 510,035 shares of common stock issuable upon conversion of shares of Series B convertible preferred stock held of record by KDev Investments, (v) 19,841 shares of common stock issuable upon conversion of shares of Series B convertible preferred stock held of record by KCIF Co-Investment Fund KB, (vi) 60,569 shares of common stock issuable upon conversion of shares of Series B convertible preferred stock held of record by Karolinska Development, (vii) 233,591 shares of common stock issuable upon conversion of shares of Series C convertible preferred stock held of record by KDev Investments, (viii) 34,321 shares of common stock issuable upon conversion of shares of Series C convertible preferred stock held of record by KCIF Co-Investment Fund KB, (ix) 162,555 shares of common stock issuable upon conversion of shares of Series C convertible preferred stock held of record by Karolinska Development, (x) 767,056 shares of common stock held of record by KDev Investments and</w:t>
      </w:r>
    </w:p>
    <w:p>
      <w:pPr>
        <w:spacing w:after="0" w:line="1" w:lineRule="exact"/>
        <w:rPr>
          <w:rFonts w:ascii="Arial" w:cs="Arial" w:eastAsia="Arial" w:hAnsi="Arial"/>
          <w:sz w:val="12"/>
          <w:szCs w:val="12"/>
          <w:color w:val="auto"/>
        </w:rPr>
      </w:pPr>
    </w:p>
    <w:p>
      <w:pPr>
        <w:ind w:left="2260" w:right="40"/>
        <w:spacing w:after="0" w:line="224" w:lineRule="auto"/>
        <w:tabs>
          <w:tab w:leader="none" w:pos="2489" w:val="left"/>
        </w:tabs>
        <w:numPr>
          <w:ilvl w:val="1"/>
          <w:numId w:val="97"/>
        </w:numPr>
        <w:rPr>
          <w:rFonts w:ascii="Arial" w:cs="Arial" w:eastAsia="Arial" w:hAnsi="Arial"/>
          <w:sz w:val="14"/>
          <w:szCs w:val="14"/>
          <w:color w:val="auto"/>
        </w:rPr>
      </w:pPr>
      <w:r>
        <w:rPr>
          <w:rFonts w:ascii="Arial" w:cs="Arial" w:eastAsia="Arial" w:hAnsi="Arial"/>
          <w:sz w:val="14"/>
          <w:szCs w:val="14"/>
          <w:color w:val="auto"/>
        </w:rPr>
        <w:t>77,222 shares of common stock held of record by KCIF Co-Investment Fund KB, or collectively, the KDev Group Entities. Jonathan Hepple is co-founder and director of Rosetta Capital Limited, the investment manager of certain private investment vehicles that own shares of KDev Investments. Dr. Hepple does not share voting and investment power over the shares held by any of the KDev Group Entities and disclaims beneficial ownership of all shares held by the KDev Group Entities except to the extent of his pecuniary interest therein. Dr. Hepple is a member of our board of directors. The address for each of these entities is c/o KDev Group, Tomtebodavägen 23A, 171 65 Solna, Sweden.</w:t>
      </w:r>
    </w:p>
    <w:p>
      <w:pPr>
        <w:spacing w:after="0" w:line="114" w:lineRule="exact"/>
        <w:rPr>
          <w:rFonts w:ascii="Arial" w:cs="Arial" w:eastAsia="Arial" w:hAnsi="Arial"/>
          <w:sz w:val="14"/>
          <w:szCs w:val="14"/>
          <w:color w:val="auto"/>
        </w:rPr>
      </w:pPr>
    </w:p>
    <w:p>
      <w:pPr>
        <w:ind w:left="2260" w:right="320" w:hanging="540"/>
        <w:spacing w:after="0" w:line="318" w:lineRule="auto"/>
        <w:tabs>
          <w:tab w:leader="none" w:pos="2260" w:val="left"/>
        </w:tabs>
        <w:numPr>
          <w:ilvl w:val="0"/>
          <w:numId w:val="98"/>
        </w:numPr>
        <w:rPr>
          <w:rFonts w:ascii="Arial" w:cs="Arial" w:eastAsia="Arial" w:hAnsi="Arial"/>
          <w:sz w:val="12"/>
          <w:szCs w:val="12"/>
          <w:color w:val="auto"/>
        </w:rPr>
      </w:pPr>
      <w:r>
        <w:rPr>
          <w:rFonts w:ascii="Arial" w:cs="Arial" w:eastAsia="Arial" w:hAnsi="Arial"/>
          <w:sz w:val="12"/>
          <w:szCs w:val="12"/>
          <w:color w:val="auto"/>
        </w:rPr>
        <w:t>Consists of (i) 1,993,658 shares of common stock issuable upon conversion of shares of Series B convertible preferred stock, (ii) 512,995 shares of common stock issuable upon conversion of shares of Series C convertible preferred stock and (iii) 12,670 shares of common stock. Guido Magni, a partner of Versant Venture</w:t>
      </w:r>
    </w:p>
    <w:p>
      <w:pPr>
        <w:spacing w:after="0" w:line="15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78" w:name="page179"/>
    <w:bookmarkEnd w:id="178"/>
    <w:p>
      <w:pPr>
        <w:ind w:left="1060" w:right="140"/>
        <w:spacing w:after="0" w:line="233" w:lineRule="auto"/>
        <w:rPr>
          <w:sz w:val="20"/>
          <w:szCs w:val="20"/>
          <w:color w:val="auto"/>
        </w:rPr>
      </w:pPr>
      <w:r>
        <w:rPr>
          <w:rFonts w:ascii="Arial" w:cs="Arial" w:eastAsia="Arial" w:hAnsi="Arial"/>
          <w:sz w:val="14"/>
          <w:szCs w:val="14"/>
          <w:color w:val="auto"/>
        </w:rPr>
        <w:t>Management, LLC, does not share voting and investment power over the shares held of record by Versant. Dr. Magni disclaims beneficial ownership of all shares held by Versant except to the extent of his pecuniary interest therein. Dr. Magni is a member of our board of directors. The address for Versant is 15 Boulevard F.W. Raiffeisen, 2411 Luxembourg.</w:t>
      </w:r>
    </w:p>
    <w:p>
      <w:pPr>
        <w:spacing w:after="0" w:line="179" w:lineRule="exact"/>
        <w:rPr>
          <w:sz w:val="20"/>
          <w:szCs w:val="20"/>
          <w:color w:val="auto"/>
        </w:rPr>
      </w:pPr>
    </w:p>
    <w:p>
      <w:pPr>
        <w:ind w:left="1060" w:hanging="540"/>
        <w:spacing w:after="0"/>
        <w:tabs>
          <w:tab w:leader="none" w:pos="1060" w:val="left"/>
        </w:tabs>
        <w:numPr>
          <w:ilvl w:val="0"/>
          <w:numId w:val="99"/>
        </w:numPr>
        <w:rPr>
          <w:rFonts w:ascii="Arial" w:cs="Arial" w:eastAsia="Arial" w:hAnsi="Arial"/>
          <w:sz w:val="12"/>
          <w:szCs w:val="12"/>
          <w:color w:val="auto"/>
        </w:rPr>
      </w:pPr>
      <w:r>
        <w:rPr>
          <w:rFonts w:ascii="Arial" w:cs="Arial" w:eastAsia="Arial" w:hAnsi="Arial"/>
          <w:sz w:val="12"/>
          <w:szCs w:val="12"/>
          <w:color w:val="auto"/>
        </w:rPr>
        <w:t>Consists of (i) 1,913,910 shares of common stock issuable upon conversion of shares of Series B convertible preferred stock held of record by 5AM Ventures IV, LP,</w:t>
      </w:r>
    </w:p>
    <w:p>
      <w:pPr>
        <w:spacing w:after="0" w:line="22" w:lineRule="exact"/>
        <w:rPr>
          <w:rFonts w:ascii="Arial" w:cs="Arial" w:eastAsia="Arial" w:hAnsi="Arial"/>
          <w:sz w:val="12"/>
          <w:szCs w:val="12"/>
          <w:color w:val="auto"/>
        </w:rPr>
      </w:pPr>
    </w:p>
    <w:p>
      <w:pPr>
        <w:ind w:left="1060"/>
        <w:spacing w:after="0" w:line="264" w:lineRule="auto"/>
        <w:rPr>
          <w:rFonts w:ascii="Arial" w:cs="Arial" w:eastAsia="Arial" w:hAnsi="Arial"/>
          <w:sz w:val="12"/>
          <w:szCs w:val="12"/>
          <w:color w:val="auto"/>
        </w:rPr>
      </w:pPr>
      <w:r>
        <w:rPr>
          <w:rFonts w:ascii="Arial" w:cs="Arial" w:eastAsia="Arial" w:hAnsi="Arial"/>
          <w:sz w:val="12"/>
          <w:szCs w:val="12"/>
          <w:color w:val="auto"/>
        </w:rPr>
        <w:t>(ii) 79,746 shares of common stock issuable upon conversion of shares of Series B convertible preferred stock held of record by 5AM Co-Investors IV, L.P., (iii) 492,475 shares of common stock issuable upon conversion of shares of Series C convertible preferred stock held of record by 5AM Ventures IV, L.P. (iv) 20,519 shares of common stock issuable upon conversion of shares of Series C convertible preferred stock held of record by 5AM Co-Investors IV, L.P., (v) 12,163 shares of common stock held of record by 5AM Ventures IV, L.P. and (vi) 507 shares of common stock held of record by 5AM Co-Investors IV, L.P. Scott Rocklage, a Managing Member of 5AM Partners IV, LLC, the General Partner of 5AM Ventures IV, L.P. and 5AM Co-Investors IV, L.P., may be deemed to share voting and investment power over the shares held of record by 5AM Ventures IV, L.P. and 5AM Co-Investors IV, L.P. Dr. Rocklage is a member of our board of directors. The address for each of these entities is c/o 5AM Ventures, 501 2nd Street, Suite 350, San Francisco, CA 94107.</w:t>
      </w:r>
    </w:p>
    <w:p>
      <w:pPr>
        <w:spacing w:after="0" w:line="100" w:lineRule="exact"/>
        <w:rPr>
          <w:rFonts w:ascii="Arial" w:cs="Arial" w:eastAsia="Arial" w:hAnsi="Arial"/>
          <w:sz w:val="12"/>
          <w:szCs w:val="12"/>
          <w:color w:val="auto"/>
        </w:rPr>
      </w:pPr>
    </w:p>
    <w:p>
      <w:pPr>
        <w:ind w:left="1060" w:right="100" w:hanging="540"/>
        <w:spacing w:after="0" w:line="278" w:lineRule="auto"/>
        <w:tabs>
          <w:tab w:leader="none" w:pos="1060" w:val="left"/>
        </w:tabs>
        <w:numPr>
          <w:ilvl w:val="0"/>
          <w:numId w:val="99"/>
        </w:numPr>
        <w:rPr>
          <w:rFonts w:ascii="Arial" w:cs="Arial" w:eastAsia="Arial" w:hAnsi="Arial"/>
          <w:sz w:val="12"/>
          <w:szCs w:val="12"/>
          <w:color w:val="auto"/>
        </w:rPr>
      </w:pPr>
      <w:r>
        <w:rPr>
          <w:rFonts w:ascii="Arial" w:cs="Arial" w:eastAsia="Arial" w:hAnsi="Arial"/>
          <w:sz w:val="12"/>
          <w:szCs w:val="12"/>
          <w:color w:val="auto"/>
        </w:rPr>
        <w:t>Consists of (i) 1,661,382 shares of common stock issuable upon conversion of shares of Series B convertible preferred stock, (ii) 427,496 shares of common stock issuable upon conversion of shares of Series C convertible preferred stock and (iii) 10,559 shares of common stock. Johan Christenson, a partner of HealthCap VII Advisor AB, is acting as advisor to HealthCap VII LP. Dr. Christenson disclaims beneficial ownership of all shares held by Healthcap except to the extent of his pecuniary interest therein. Dr. Christenson is a member of our board of directors. The address for HealthCap is 18 Avenue of d'Ouchy CH-1006 Lausanne, Switzerland.</w:t>
      </w:r>
    </w:p>
    <w:p>
      <w:pPr>
        <w:spacing w:after="0" w:line="89" w:lineRule="exact"/>
        <w:rPr>
          <w:rFonts w:ascii="Arial" w:cs="Arial" w:eastAsia="Arial" w:hAnsi="Arial"/>
          <w:sz w:val="12"/>
          <w:szCs w:val="12"/>
          <w:color w:val="auto"/>
        </w:rPr>
      </w:pPr>
    </w:p>
    <w:p>
      <w:pPr>
        <w:ind w:left="1060" w:right="60" w:hanging="540"/>
        <w:spacing w:after="0" w:line="268" w:lineRule="auto"/>
        <w:tabs>
          <w:tab w:leader="none" w:pos="1060" w:val="left"/>
        </w:tabs>
        <w:numPr>
          <w:ilvl w:val="0"/>
          <w:numId w:val="99"/>
        </w:numPr>
        <w:rPr>
          <w:rFonts w:ascii="Arial" w:cs="Arial" w:eastAsia="Arial" w:hAnsi="Arial"/>
          <w:sz w:val="12"/>
          <w:szCs w:val="12"/>
          <w:color w:val="auto"/>
        </w:rPr>
      </w:pPr>
      <w:r>
        <w:rPr>
          <w:rFonts w:ascii="Arial" w:cs="Arial" w:eastAsia="Arial" w:hAnsi="Arial"/>
          <w:sz w:val="12"/>
          <w:szCs w:val="12"/>
          <w:color w:val="auto"/>
        </w:rPr>
        <w:t>Consists of (i) 1,454,926 shares of common stock issuable upon conversion of shares of Series C convertible preferred stock held of record by Redmile Biopharma Investments I, L.P. and (ii) 413,792 shares of common stock issuable upon conversion of shares of Series C convertible preferred stock held of record by RAF, L.P. (together with Redmile Biopharma Investments I, L.P., the "Redmile Funds"). Redmile Group, LLC is the investment manager to the Redmile Funds and, in such capacity, exercises shared voting and dispositive power over the securities held by the Redmile Funds and may be deemed to beneficially own such securities. Jeremy Green serves as the managing member of Redmile Group, LLC and as such shares voting and dispositive power over the securities held by the Redmile Funds. Redmile Group, LLC and Mr. Green each disclaim beneficial ownership of these securities, except to the extent of its or his pecuniary interest in such securities, if any. The address for each of the above person and entities is One Letterman Drive, Building D, Suite D3-300, San Francisco, CA 94129.</w:t>
      </w:r>
    </w:p>
    <w:p>
      <w:pPr>
        <w:spacing w:after="0" w:line="96" w:lineRule="exact"/>
        <w:rPr>
          <w:rFonts w:ascii="Arial" w:cs="Arial" w:eastAsia="Arial" w:hAnsi="Arial"/>
          <w:sz w:val="12"/>
          <w:szCs w:val="12"/>
          <w:color w:val="auto"/>
        </w:rPr>
      </w:pPr>
    </w:p>
    <w:p>
      <w:pPr>
        <w:ind w:left="1060" w:hanging="540"/>
        <w:spacing w:after="0" w:line="268" w:lineRule="auto"/>
        <w:tabs>
          <w:tab w:leader="none" w:pos="1060" w:val="left"/>
        </w:tabs>
        <w:numPr>
          <w:ilvl w:val="0"/>
          <w:numId w:val="99"/>
        </w:numPr>
        <w:rPr>
          <w:rFonts w:ascii="Arial" w:cs="Arial" w:eastAsia="Arial" w:hAnsi="Arial"/>
          <w:sz w:val="12"/>
          <w:szCs w:val="12"/>
          <w:color w:val="auto"/>
        </w:rPr>
      </w:pPr>
      <w:r>
        <w:rPr>
          <w:rFonts w:ascii="Arial" w:cs="Arial" w:eastAsia="Arial" w:hAnsi="Arial"/>
          <w:sz w:val="12"/>
          <w:szCs w:val="12"/>
          <w:color w:val="auto"/>
        </w:rPr>
        <w:t>Consists of (i) 996,826 shares of common stock issuable upon conversion of shares of Series B convertible preferred stock, (ii) 467,179 shares of common stock issuable upon conversion of shares of Series C convertible preferred stock and (iii) 6,334 shares of common stock. The address for Sectoral Asset Management is</w:t>
      </w:r>
    </w:p>
    <w:p>
      <w:pPr>
        <w:ind w:left="1060"/>
        <w:spacing w:after="0"/>
        <w:rPr>
          <w:rFonts w:ascii="Arial" w:cs="Arial" w:eastAsia="Arial" w:hAnsi="Arial"/>
          <w:sz w:val="12"/>
          <w:szCs w:val="12"/>
          <w:color w:val="auto"/>
        </w:rPr>
      </w:pPr>
      <w:r>
        <w:rPr>
          <w:rFonts w:ascii="Arial" w:cs="Arial" w:eastAsia="Arial" w:hAnsi="Arial"/>
          <w:sz w:val="14"/>
          <w:szCs w:val="14"/>
          <w:color w:val="auto"/>
        </w:rPr>
        <w:t>1010 Sherbrooke St. West, #1610, Montreal, QC Canada H3A 2R7.</w:t>
      </w:r>
    </w:p>
    <w:p>
      <w:pPr>
        <w:spacing w:after="0" w:line="110" w:lineRule="exact"/>
        <w:rPr>
          <w:rFonts w:ascii="Arial" w:cs="Arial" w:eastAsia="Arial" w:hAnsi="Arial"/>
          <w:sz w:val="12"/>
          <w:szCs w:val="12"/>
          <w:color w:val="auto"/>
        </w:rPr>
      </w:pPr>
    </w:p>
    <w:p>
      <w:pPr>
        <w:ind w:left="1060" w:right="120" w:hanging="540"/>
        <w:spacing w:after="0" w:line="239" w:lineRule="auto"/>
        <w:tabs>
          <w:tab w:leader="none" w:pos="1060" w:val="left"/>
        </w:tabs>
        <w:numPr>
          <w:ilvl w:val="0"/>
          <w:numId w:val="99"/>
        </w:numPr>
        <w:rPr>
          <w:rFonts w:ascii="Arial" w:cs="Arial" w:eastAsia="Arial" w:hAnsi="Arial"/>
          <w:sz w:val="14"/>
          <w:szCs w:val="14"/>
          <w:color w:val="auto"/>
        </w:rPr>
      </w:pPr>
      <w:r>
        <w:rPr>
          <w:rFonts w:ascii="Arial" w:cs="Arial" w:eastAsia="Arial" w:hAnsi="Arial"/>
          <w:sz w:val="14"/>
          <w:szCs w:val="14"/>
          <w:color w:val="auto"/>
        </w:rPr>
        <w:t>Consists of (i) 160 shares of common stock issued in connection with the initial capital contribution to the Company, and (ii) 553,167 shares of common stock issuable upon the exercise of stock options exercisable within 60 days of September 26, 2019.</w:t>
      </w:r>
    </w:p>
    <w:p>
      <w:pPr>
        <w:spacing w:after="0" w:line="111" w:lineRule="exact"/>
        <w:rPr>
          <w:rFonts w:ascii="Arial" w:cs="Arial" w:eastAsia="Arial" w:hAnsi="Arial"/>
          <w:sz w:val="14"/>
          <w:szCs w:val="14"/>
          <w:color w:val="auto"/>
        </w:rPr>
      </w:pPr>
    </w:p>
    <w:p>
      <w:pPr>
        <w:ind w:left="1060" w:hanging="540"/>
        <w:spacing w:after="0"/>
        <w:tabs>
          <w:tab w:leader="none" w:pos="1060" w:val="left"/>
        </w:tabs>
        <w:numPr>
          <w:ilvl w:val="0"/>
          <w:numId w:val="99"/>
        </w:numPr>
        <w:rPr>
          <w:rFonts w:ascii="Arial" w:cs="Arial" w:eastAsia="Arial" w:hAnsi="Arial"/>
          <w:sz w:val="14"/>
          <w:szCs w:val="14"/>
          <w:color w:val="auto"/>
        </w:rPr>
      </w:pPr>
      <w:r>
        <w:rPr>
          <w:rFonts w:ascii="Arial" w:cs="Arial" w:eastAsia="Arial" w:hAnsi="Arial"/>
          <w:sz w:val="14"/>
          <w:szCs w:val="14"/>
          <w:color w:val="auto"/>
        </w:rPr>
        <w:t>Consists of 122,666 shares of common stock issuable upon the exercise of stock options exercisable within 60 days of September 26, 2019.</w:t>
      </w:r>
    </w:p>
    <w:p>
      <w:pPr>
        <w:spacing w:after="0" w:line="122" w:lineRule="exact"/>
        <w:rPr>
          <w:rFonts w:ascii="Arial" w:cs="Arial" w:eastAsia="Arial" w:hAnsi="Arial"/>
          <w:sz w:val="14"/>
          <w:szCs w:val="14"/>
          <w:color w:val="auto"/>
        </w:rPr>
      </w:pPr>
    </w:p>
    <w:p>
      <w:pPr>
        <w:ind w:left="1060" w:hanging="540"/>
        <w:spacing w:after="0"/>
        <w:tabs>
          <w:tab w:leader="none" w:pos="1060" w:val="left"/>
        </w:tabs>
        <w:numPr>
          <w:ilvl w:val="0"/>
          <w:numId w:val="99"/>
        </w:numPr>
        <w:rPr>
          <w:rFonts w:ascii="Arial" w:cs="Arial" w:eastAsia="Arial" w:hAnsi="Arial"/>
          <w:sz w:val="14"/>
          <w:szCs w:val="14"/>
          <w:color w:val="auto"/>
        </w:rPr>
      </w:pPr>
      <w:r>
        <w:rPr>
          <w:rFonts w:ascii="Arial" w:cs="Arial" w:eastAsia="Arial" w:hAnsi="Arial"/>
          <w:sz w:val="14"/>
          <w:szCs w:val="14"/>
          <w:color w:val="auto"/>
        </w:rPr>
        <w:t>Consists of 100,964 shares of common stock issuable upon the exercise of stock options exercisable within 60 days of September 26, 2019.</w:t>
      </w:r>
    </w:p>
    <w:p>
      <w:pPr>
        <w:spacing w:after="0" w:line="122" w:lineRule="exact"/>
        <w:rPr>
          <w:rFonts w:ascii="Arial" w:cs="Arial" w:eastAsia="Arial" w:hAnsi="Arial"/>
          <w:sz w:val="14"/>
          <w:szCs w:val="14"/>
          <w:color w:val="auto"/>
        </w:rPr>
      </w:pPr>
    </w:p>
    <w:p>
      <w:pPr>
        <w:ind w:left="1060" w:hanging="540"/>
        <w:spacing w:after="0"/>
        <w:tabs>
          <w:tab w:leader="none" w:pos="1060" w:val="left"/>
        </w:tabs>
        <w:numPr>
          <w:ilvl w:val="0"/>
          <w:numId w:val="99"/>
        </w:numPr>
        <w:rPr>
          <w:rFonts w:ascii="Arial" w:cs="Arial" w:eastAsia="Arial" w:hAnsi="Arial"/>
          <w:sz w:val="14"/>
          <w:szCs w:val="14"/>
          <w:color w:val="auto"/>
        </w:rPr>
      </w:pPr>
      <w:r>
        <w:rPr>
          <w:rFonts w:ascii="Arial" w:cs="Arial" w:eastAsia="Arial" w:hAnsi="Arial"/>
          <w:sz w:val="14"/>
          <w:szCs w:val="14"/>
          <w:color w:val="auto"/>
        </w:rPr>
        <w:t>Consists of 263,970 shares of common stock issuable upon the exercise of stock options exercisable within 60 days of September 26, 2019.</w:t>
      </w:r>
    </w:p>
    <w:p>
      <w:pPr>
        <w:spacing w:after="0" w:line="122" w:lineRule="exact"/>
        <w:rPr>
          <w:rFonts w:ascii="Arial" w:cs="Arial" w:eastAsia="Arial" w:hAnsi="Arial"/>
          <w:sz w:val="14"/>
          <w:szCs w:val="14"/>
          <w:color w:val="auto"/>
        </w:rPr>
      </w:pPr>
    </w:p>
    <w:p>
      <w:pPr>
        <w:ind w:left="1060" w:right="120" w:hanging="540"/>
        <w:spacing w:after="0" w:line="230" w:lineRule="auto"/>
        <w:tabs>
          <w:tab w:leader="none" w:pos="1060" w:val="left"/>
        </w:tabs>
        <w:numPr>
          <w:ilvl w:val="0"/>
          <w:numId w:val="99"/>
        </w:numPr>
        <w:rPr>
          <w:rFonts w:ascii="Arial" w:cs="Arial" w:eastAsia="Arial" w:hAnsi="Arial"/>
          <w:sz w:val="14"/>
          <w:szCs w:val="14"/>
          <w:color w:val="auto"/>
        </w:rPr>
      </w:pPr>
      <w:r>
        <w:rPr>
          <w:rFonts w:ascii="Arial" w:cs="Arial" w:eastAsia="Arial" w:hAnsi="Arial"/>
          <w:sz w:val="14"/>
          <w:szCs w:val="14"/>
          <w:color w:val="auto"/>
        </w:rPr>
        <w:t>Does not include options to purchase shares of common stock, to be valued at $185,000 based on the initial public offering price of the Company's common stock, approved for grant to Mr. Henneman, which grant is contingent and effective upon the effectiveness of the registration statement of which this prospectus forms a part. The final number of shares will not be calculated until the price of the initial public offering of the Company's common stock has been finalized and will be computed using the Black-Scholes option-pricing model.</w:t>
      </w:r>
    </w:p>
    <w:p>
      <w:pPr>
        <w:spacing w:after="0" w:line="112" w:lineRule="exact"/>
        <w:rPr>
          <w:rFonts w:ascii="Arial" w:cs="Arial" w:eastAsia="Arial" w:hAnsi="Arial"/>
          <w:sz w:val="14"/>
          <w:szCs w:val="14"/>
          <w:color w:val="auto"/>
        </w:rPr>
      </w:pPr>
    </w:p>
    <w:p>
      <w:pPr>
        <w:ind w:left="1060" w:hanging="540"/>
        <w:spacing w:after="0"/>
        <w:tabs>
          <w:tab w:leader="none" w:pos="1060" w:val="left"/>
        </w:tabs>
        <w:numPr>
          <w:ilvl w:val="0"/>
          <w:numId w:val="99"/>
        </w:numPr>
        <w:rPr>
          <w:rFonts w:ascii="Arial" w:cs="Arial" w:eastAsia="Arial" w:hAnsi="Arial"/>
          <w:sz w:val="14"/>
          <w:szCs w:val="14"/>
          <w:color w:val="auto"/>
        </w:rPr>
      </w:pPr>
      <w:r>
        <w:rPr>
          <w:rFonts w:ascii="Arial" w:cs="Arial" w:eastAsia="Arial" w:hAnsi="Arial"/>
          <w:sz w:val="14"/>
          <w:szCs w:val="14"/>
          <w:color w:val="auto"/>
        </w:rPr>
        <w:t>Consists of shares described in notes.</w:t>
      </w:r>
    </w:p>
    <w:p>
      <w:pPr>
        <w:spacing w:after="0" w:line="20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00"/>
          </w:cols>
          <w:pgMar w:left="1440" w:top="129" w:right="259" w:bottom="1440" w:gutter="0" w:footer="0" w:header="0"/>
        </w:sectPr>
      </w:pPr>
    </w:p>
    <w:bookmarkStart w:id="179" w:name="page180"/>
    <w:bookmarkEnd w:id="179"/>
    <w:p>
      <w:pPr>
        <w:jc w:val="center"/>
        <w:ind w:right="40"/>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Following the completion of this offering and the completion of the Holdco Reorganization as described in the "Corporate Reorganization" section of this prospectus, and the conversion of all outstanding shares of our convertible preferred stock into common stock immediately prior to the completion of this offering, our authorized capital stock will consist of 400,000,000 shares of common stock, par value $0.001 per share, and 40,000,000 shares of preferred stock, par value $0.001 per share, all of which preferred stock will be undesignated. The following description of our capital stock and provisions of our amended and restated certificate of incorporation and amended and restated bylaws are summaries and are qualified by reference to the certificate of incorporation and the bylaws that will become effective as of the closing date of this offering. We have filed copies of these documents as exhibits to our registration statement of which this prospectus forms a part. The descriptions of the common stock and preferred stock reflect changes to our capital structure that will occur as of immediately prior to the completion of this offering.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As of June 30, 2019, we had outstanding 14,209,865 shares of common stock (including 2,807 shares of common stock from the exercise of stock options on March 25, 2019, which were registered pursuant to Swedish law with the Swedish Companies Registration Office on August 27, 2019), reflecting the completion of the Holdco Reorganization and the 1 for 1.6045 split of our common stock and assuming the automatic conversion of all outstanding shares of our preferred stock into 13,028,292 shares of common stock immediately prior to the completion of this offering, which were held of record by 25 stockholders.</w:t>
      </w:r>
    </w:p>
    <w:p>
      <w:pPr>
        <w:spacing w:after="0" w:line="167"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Holders of our common stock are entitled to one vote for each share held on all matters submitted to a vote of stockholders and do not have cumulative voting rights. An election of directors by our stockholders will be determined by a plurality of the votes cast by the stockholders entitled to vote on the election. Other matters shall be decided by the affirmative vote of our stockholders having a majority in voting power of the votes cast by the stockholders present or represented and voting on such matter, except as otherwise disclosed below. Holders of common stock are entitled to receive proportionately any dividends as may be declared by our board of directors, subject to any preferential dividend rights of outstanding preferred stock.</w:t>
      </w:r>
    </w:p>
    <w:p>
      <w:pPr>
        <w:spacing w:after="0" w:line="170"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In the event of our liquidation or dissolution, the holders of common stock are entitled to receive proportionately all assets available for distribution to stockholders after the payment of all debts and other liabilities and subject to the prior rights of any outstanding preferred stock. Holders of common stock have no preemptive, subscription, redemption or conversion rights. The rights, preferences and privileges of holders of common stock are subject to and may be adversely affected by the rights of the holders of shares of any series of preferred stock that we may designate and issue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Under the terms of our certificate of incorporation that will become effective as of the closing date of this offering,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97"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0" w:name="page181"/>
    <w:bookmarkEnd w:id="180"/>
    <w:p>
      <w:pPr>
        <w:ind w:right="140"/>
        <w:spacing w:after="0" w:line="332" w:lineRule="auto"/>
        <w:rPr>
          <w:sz w:val="20"/>
          <w:szCs w:val="20"/>
          <w:color w:val="auto"/>
        </w:rPr>
      </w:pPr>
      <w:r>
        <w:rPr>
          <w:rFonts w:ascii="Arial" w:cs="Arial" w:eastAsia="Arial" w:hAnsi="Arial"/>
          <w:sz w:val="16"/>
          <w:szCs w:val="16"/>
          <w:color w:val="auto"/>
        </w:rPr>
        <w:t>party to acquire, or could discourage a third party from seeking to acquire, a majority of our outstanding voting stock. As of immediately prior to the completion of this offering, there will be no shares of preferred stock outstanding, and we have no present plans to issue any shares of preferred stock.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31"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As of June 30, 2019, options to purchase 2,761,794 shares of our common stock at a weighted average exercise price of $1.66 per share were outstanding, of which no options to purchase shares of our common stock were exercisable.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party to an amended and restated registration rights agreement, dated as of September 20, 2019, pursuant to which certain of our stockholders, including certain holders of five percent or more of our capital stock and their affiliates and entities affiliated with certain of our directors, have the right to demand that we file a registration statement for their shares of our common stock or request that their shares of our common stock be covered by a registration statement that we are otherwise filing, including, in each case, shares of our common stock that were issued upon conversion of convertible preferred stock. These shares are referred to as registrable securities. Such stockholders have agreed not to exercise their registration rights during the lock-up period for this offering. See "Shares Eligible for Future Sale—Lock-Up Agreements."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At any time after 180 days following the completion of this offering, the shareholders, as defined in the Registration Rights Agreement, holding not less than fifty percent of the registrable securities have the right to demand that we file, a registration statement to register all or a portion of their registrable securities, provided that the expected aggregate proceeds to be received from the sale of the registrable securities to be sold under the registration statement is equal to or exceeds $10.0 million. We are not obligated to file a registration statement pursuant to this demand provision (i) on more than one occasion within any six-month period or (ii) if at the time of such request, four or more such demand registrations and underwritten takedowns, as defined in the Registration Rights Agreement, have previously been effected or deemed effected.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addition, if, at any time after the first anniversary of this offering, we become eligible to file a registration statement on Form S-3 under the Securities Act, subject to specified limitations, a shareholder or a group of shareholders, as defined in the Registration Rights Agreement, may demand in writing that we register on Form S-3 all or part of the registrable securities held by them. We are not obliged to effect more than one such underwritten takedown, as defined in the Registration Rights Agreement, within any six-month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25"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If, at any time after the completion of this offering, we propose to file a registration statement to register any of our common stock under the Securities Act (other than (i) a registration statement on Form S-3 or (ii) a registration statement relating to any employee benefit plan), either for our own account or for the account of any of our stockholders that are not holders of registrable securities, the holders of our registrable securities are entitled to notice of registration and, subject to specified exceptions, we will be required to use our commercially reasonable efforts to register the registrable securities then held by them that they request that we register.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Pursuant to the Registration Rights Agreement, we are required to pay all registration expenses, including registration fees, printing expenses, fees and disbursements of our counsel and accountants and reasonable fees and disbursements of one counsel representing all shareholders, as defined in the Registration Rights Agreement, participating in the offering, other than any underwriting discounts and commissions attributable to the sale of registrable securities, as defined in the Registration Rights Agreement.</w:t>
      </w:r>
    </w:p>
    <w:p>
      <w:pPr>
        <w:spacing w:after="0" w:line="197"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Registration Rights Agreement contains customary cross-indemnification provisions, pursuant to which we are obligated to indemnify shareholders, as defined in the Registration Rights Agreement, beneficially owning registrable securities covered by a registration statement in the event of material misstatements or omissions in the registration statement attributable to us, and each shareholder, as defined in the Registration Rights Agreement, is obligated to indemnify us for material misstatements or omissions in the registration statement attributable to them.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charter and bylaws</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Delaware law contains, and upon the completion of this offering our certificate of incorporation and our bylaws will contain, provisions that could have the effect of delaying, deferring or discouraging another party from acquiring control of us. These provisions, which are summarized below, are expected to discourage coercive takeover practices and inadequate takeover bids. These provisions are also designed to encourage persons seeking to acquire control of us to first negotiate with our board of directors.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Staggered board; removal of directors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Upon the completion of this offering, our certificate of incorporation and bylaws will divide our board of directors into three classes with staggered three-year terms. In addition, a director will only be able to be removed for cause and only by the affirmative vote of the holders of at least 75% of the votes that all of our stockholders would be entitled to cast in an annual election of directors. Any vacancy on our board of directors, including a vacancy resulting from an enlargement of our board of directors, will only be able to be filled by vote of a majority of our directors then in office. The classification of our board of directors and the limitations on the removal of directors and filling of vacancies could make it more difficult for a third party to acquire, or discourage a third party from seeking to acquire, control of our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 special meetings</w:t>
      </w:r>
    </w:p>
    <w:p>
      <w:pPr>
        <w:spacing w:after="0" w:line="225" w:lineRule="exact"/>
        <w:rPr>
          <w:sz w:val="20"/>
          <w:szCs w:val="20"/>
          <w:color w:val="auto"/>
        </w:rPr>
      </w:pPr>
    </w:p>
    <w:p>
      <w:pPr>
        <w:jc w:val="both"/>
        <w:ind w:right="40" w:firstLine="351"/>
        <w:spacing w:after="0" w:line="298" w:lineRule="auto"/>
        <w:rPr>
          <w:sz w:val="20"/>
          <w:szCs w:val="20"/>
          <w:color w:val="auto"/>
        </w:rPr>
      </w:pPr>
      <w:r>
        <w:rPr>
          <w:rFonts w:ascii="Arial" w:cs="Arial" w:eastAsia="Arial" w:hAnsi="Arial"/>
          <w:sz w:val="16"/>
          <w:szCs w:val="16"/>
          <w:color w:val="auto"/>
        </w:rPr>
        <w:t>Upon the completion of this offering, our certificate of incorporation will provide that any action required or permitted to be taken by our stockholders must be effected at a duly called annual or special meeting of such holders and may not be effected by any consent in writing by such holders. Upon the completion of this offering, our certificate of incorporation and bylaws will also provide that, except as otherwise required by law, special meetings of our stockholders can only be called by our chairman of the board, our Chief Executive Officer or our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 for stockholder proposals</w:t>
      </w:r>
    </w:p>
    <w:p>
      <w:pPr>
        <w:spacing w:after="0" w:line="225"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Upon the completion of this offering, our bylaws will establish an advance notice procedure for stockholder proposals to be brought before an annual meeting of stockholders, including proposed nominations of persons for election to our board of directors. Stockholders at an annual meeting will only be able to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2" w:name="page183"/>
    <w:bookmarkEnd w:id="182"/>
    <w:p>
      <w:pPr>
        <w:ind w:right="40"/>
        <w:spacing w:after="0" w:line="268" w:lineRule="auto"/>
        <w:rPr>
          <w:sz w:val="20"/>
          <w:szCs w:val="20"/>
          <w:color w:val="auto"/>
        </w:rPr>
      </w:pPr>
      <w:r>
        <w:rPr>
          <w:rFonts w:ascii="Arial" w:cs="Arial" w:eastAsia="Arial" w:hAnsi="Arial"/>
          <w:sz w:val="18"/>
          <w:szCs w:val="18"/>
          <w:color w:val="auto"/>
        </w:rPr>
        <w:t>meeting. These provisions could have the effect of delaying until the next stockholder meeting stockholder actions that are favored by the holders of a majority of our outstanding voting securities.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business combination statute</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Upon the completion of this offering, we will be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certificate of incorporation and bylaws</w:t>
      </w:r>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Effective as of the closing date of this offering, our bylaws may be amended or repealed by a majority vote of our board of directors or by the affirmative vote of the holders of at least 75% of the votes that all of our stockholders would be entitled to cast in any annual election of directors. In addition, the affirmative vote of the holders of at least 75% of the votes that all of our stockholders would be entitled to cast in any annual election of directors is required to amend or repeal or to adopt any provisions inconsistent with any of the provisions of our certificate of incorporation described above under "—Staggered board; removal of directors" and "—Stockholder action by written consent; special meetings."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225" w:lineRule="exact"/>
        <w:rPr>
          <w:sz w:val="20"/>
          <w:szCs w:val="20"/>
          <w:color w:val="auto"/>
        </w:rPr>
      </w:pPr>
    </w:p>
    <w:p>
      <w:pPr>
        <w:ind w:right="160" w:firstLine="351"/>
        <w:spacing w:after="0" w:line="283" w:lineRule="auto"/>
        <w:rPr>
          <w:sz w:val="20"/>
          <w:szCs w:val="20"/>
          <w:color w:val="auto"/>
        </w:rPr>
      </w:pPr>
      <w:r>
        <w:rPr>
          <w:rFonts w:ascii="Arial" w:cs="Arial" w:eastAsia="Arial" w:hAnsi="Arial"/>
          <w:sz w:val="16"/>
          <w:szCs w:val="16"/>
          <w:color w:val="auto"/>
        </w:rPr>
        <w:t>Effective as of the closing date of this offering, our certificate of incorporation will provide that, unless we consent in writing to the selection of an alternative forum, to the fullest extent permitted by law, the Court of Chancery of the State of Delaware (or if the Court of Chancery does not have jurisdiction, the federal district court for the District of Delaware) shall be the sole and exclusive forum for (1) any derivative action or proceeding brought on behalf of our company under Delaware law, (2) any action asserting a claim of breach of a fiduciary duty owed by any of our directors, officers or employees to our company or our stockholders, (3) any action asserting a claim against our company arising pursuant to any provision of the Delaware General Corporation Law or our amended and restated certificate of incorporation or bylaws, (4) any action asserting a claim against our company governed by the internal affairs doctrine or</w:t>
      </w:r>
    </w:p>
    <w:p>
      <w:pPr>
        <w:spacing w:after="0" w:line="1" w:lineRule="exact"/>
        <w:rPr>
          <w:sz w:val="20"/>
          <w:szCs w:val="20"/>
          <w:color w:val="auto"/>
        </w:rPr>
      </w:pPr>
    </w:p>
    <w:p>
      <w:pPr>
        <w:ind w:firstLine="8"/>
        <w:spacing w:after="0" w:line="253" w:lineRule="auto"/>
        <w:tabs>
          <w:tab w:leader="none" w:pos="24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other action asserting an "internal corporate claim," as defined in Section 115 of the Delaware General Corporation Law. These exclusive-forum provisions do not apply to claims under the Securities Act or the Exchange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Nasdaq Global Select Market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has been approved for listing on The Nasdaq Global Select Market under the symbol "APRE."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authorized but unissued shares of common stock and preferred stock are available for future issuance without stockholder approval, subject to any limitations imposed by the listing requirements of The Nasdaq Global Select Market.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transfer agent and registrar for our common stock will be Computershare Trust Company, N.A. The transfer agent and registrar's address is 150 Royall St., Canton, MA 02021.</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184" w:name="page185"/>
    <w:bookmarkEnd w:id="184"/>
    <w:p>
      <w:pPr>
        <w:jc w:val="center"/>
        <w:ind w:right="40"/>
        <w:spacing w:after="0"/>
        <w:rPr>
          <w:sz w:val="20"/>
          <w:szCs w:val="20"/>
          <w:color w:val="auto"/>
        </w:rPr>
      </w:pPr>
      <w:r>
        <w:rPr>
          <w:rFonts w:ascii="Arial" w:cs="Arial" w:eastAsia="Arial" w:hAnsi="Arial"/>
          <w:sz w:val="18"/>
          <w:szCs w:val="18"/>
          <w:b w:val="1"/>
          <w:bCs w:val="1"/>
          <w:color w:val="auto"/>
        </w:rPr>
        <w:t>Shares Eligible for Future Sale</w:t>
      </w:r>
    </w:p>
    <w:p>
      <w:pPr>
        <w:spacing w:after="0" w:line="23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Prior to this offering, there has been no public market for our common stock. Future sales of our common stock, including shares issued upon the exercise of outstanding options, in the public market after this offering, or the perception that those sales may occur, could cause the prevailing market price for our common stock to fall or impair our ability to raise equity capital in the future. As described below, only a limited number of shares of our common stock will be available for sale in the public market for a period of several months after the completion of this offering due to contractual and legal restrictions on resale described below. Future sales of our common stock in the public market either before (to the extent permitted) or after restrictions lapse, or the perception that those sales may occur, could adversely affect the prevailing market price of our common stock at such time and our ability to raise equity capital at a time and price we deem appropriate.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restricted shares</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Based on the number of shares of our common stock outstanding as of September 26, 2019, and after giving effect to the Holdco Reorganization and the conversion of all outstanding shares of our convertible preferred stock for common stock, upon the completion of this offering, we will have outstanding an aggregate of approximately 19,876,532 shares of common stock. Of these shares, all of the shares of common stock to be sold in this offering will be freely tradable in the public market without restriction or further registration under the Securities Act, unless the shares are held by any of our "affiliates" as such term is defined in Rule 144 of the Securities Act. All remaining shares of common stock held by existing stockholders immediately prior to the completion of this offering will be "restricted securities" as such term is defined in Rule 144. These restricted securities were issued and sold by us, or will be issued and sold by us, in private transactions and are eligible for public sale only if registered under the Securities Act or if they qualify for an exemption from registration under the Securities Act, including the exemptions provided by Rule 144 or Rule 701, which rules are summarized below.</w:t>
      </w:r>
    </w:p>
    <w:p>
      <w:pPr>
        <w:spacing w:after="0" w:line="172" w:lineRule="exact"/>
        <w:rPr>
          <w:sz w:val="20"/>
          <w:szCs w:val="20"/>
          <w:color w:val="auto"/>
        </w:rPr>
      </w:pPr>
    </w:p>
    <w:p>
      <w:pPr>
        <w:jc w:val="both"/>
        <w:ind w:right="60" w:firstLine="341"/>
        <w:spacing w:after="0" w:line="259" w:lineRule="auto"/>
        <w:rPr>
          <w:sz w:val="20"/>
          <w:szCs w:val="20"/>
          <w:color w:val="auto"/>
        </w:rPr>
      </w:pPr>
      <w:r>
        <w:rPr>
          <w:rFonts w:ascii="Arial" w:cs="Arial" w:eastAsia="Arial" w:hAnsi="Arial"/>
          <w:sz w:val="18"/>
          <w:szCs w:val="18"/>
          <w:color w:val="auto"/>
        </w:rPr>
        <w:t>As a result of the lock-up agreements referred to below and the provisions of Rule 144 and Rule 701 under the Securities Act, based on the number of shares of our common stock outstanding as of September 26, 2019, the shares of our common stock (excluding the shares sold in this offering) that will be available for sale in the public market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Approximate number of shares</w:t>
            </w:r>
          </w:p>
        </w:tc>
        <w:tc>
          <w:tcPr>
            <w:tcW w:w="160" w:type="dxa"/>
            <w:vAlign w:val="bottom"/>
          </w:tcPr>
          <w:p>
            <w:pPr>
              <w:spacing w:after="0"/>
              <w:rPr>
                <w:sz w:val="14"/>
                <w:szCs w:val="14"/>
                <w:color w:val="auto"/>
              </w:rPr>
            </w:pPr>
          </w:p>
        </w:tc>
        <w:tc>
          <w:tcPr>
            <w:tcW w:w="9320" w:type="dxa"/>
            <w:vAlign w:val="bottom"/>
            <w:tcBorders>
              <w:bottom w:val="single" w:sz="8" w:color="auto"/>
            </w:tcBorders>
          </w:tcPr>
          <w:p>
            <w:pPr>
              <w:ind w:left="3320"/>
              <w:spacing w:after="0"/>
              <w:rPr>
                <w:sz w:val="20"/>
                <w:szCs w:val="20"/>
                <w:color w:val="auto"/>
              </w:rPr>
            </w:pPr>
            <w:r>
              <w:rPr>
                <w:rFonts w:ascii="Arial" w:cs="Arial" w:eastAsia="Arial" w:hAnsi="Arial"/>
                <w:sz w:val="14"/>
                <w:szCs w:val="14"/>
                <w:b w:val="1"/>
                <w:bCs w:val="1"/>
                <w:color w:val="auto"/>
              </w:rPr>
              <w:t>First date available for sale into public market</w:t>
            </w:r>
          </w:p>
        </w:tc>
      </w:tr>
      <w:tr>
        <w:trPr>
          <w:trHeight w:val="201"/>
        </w:trPr>
        <w:tc>
          <w:tcPr>
            <w:tcW w:w="1940" w:type="dxa"/>
            <w:vAlign w:val="bottom"/>
          </w:tcPr>
          <w:p>
            <w:pPr>
              <w:spacing w:after="0" w:line="201" w:lineRule="exact"/>
              <w:rPr>
                <w:sz w:val="20"/>
                <w:szCs w:val="20"/>
                <w:color w:val="auto"/>
              </w:rPr>
            </w:pPr>
            <w:r>
              <w:rPr>
                <w:rFonts w:ascii="Arial" w:cs="Arial" w:eastAsia="Arial" w:hAnsi="Arial"/>
                <w:sz w:val="18"/>
                <w:szCs w:val="18"/>
                <w:color w:val="auto"/>
              </w:rPr>
              <w:t>14,179,428 shares</w:t>
            </w:r>
          </w:p>
        </w:tc>
        <w:tc>
          <w:tcPr>
            <w:tcW w:w="160" w:type="dxa"/>
            <w:vAlign w:val="bottom"/>
          </w:tcPr>
          <w:p>
            <w:pPr>
              <w:spacing w:after="0"/>
              <w:rPr>
                <w:sz w:val="17"/>
                <w:szCs w:val="17"/>
                <w:color w:val="auto"/>
              </w:rPr>
            </w:pPr>
          </w:p>
        </w:tc>
        <w:tc>
          <w:tcPr>
            <w:tcW w:w="9320" w:type="dxa"/>
            <w:vAlign w:val="bottom"/>
          </w:tcPr>
          <w:p>
            <w:pPr>
              <w:spacing w:after="0" w:line="201" w:lineRule="exact"/>
              <w:rPr>
                <w:sz w:val="20"/>
                <w:szCs w:val="20"/>
                <w:color w:val="auto"/>
              </w:rPr>
            </w:pPr>
            <w:r>
              <w:rPr>
                <w:rFonts w:ascii="Arial" w:cs="Arial" w:eastAsia="Arial" w:hAnsi="Arial"/>
                <w:sz w:val="18"/>
                <w:szCs w:val="18"/>
                <w:color w:val="auto"/>
                <w:w w:val="91"/>
              </w:rPr>
              <w:t>180 days after the date of this prospectus upon expiration of the lock-up agreements referred to below, subject in some cases to</w:t>
            </w:r>
          </w:p>
        </w:tc>
      </w:tr>
      <w:tr>
        <w:trPr>
          <w:trHeight w:val="222"/>
        </w:trPr>
        <w:tc>
          <w:tcPr>
            <w:tcW w:w="1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applicable volume limitations under Rule 144</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In connection with this offering, we, our directors, executive officers and holders of substantially all outstanding shares have agreed with the underwriters, subject to certain exceptions, to not to dispose of or hedge any shares of our common stock or securities convertible into or exchangeable for shares of common stock during the period from the date of the lock-up agreement continuing through the date 180 days after the date of this prospectus, except with the prior written consent of J.P. Morgan Securities LLC and Morgan Stanley &amp; Co. LLC. These agreements are subject to certain customary exceptions. See the section titled "Underwriting" for additional information.</w:t>
      </w:r>
    </w:p>
    <w:p>
      <w:pPr>
        <w:spacing w:after="0" w:line="197"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Prior to the completion of the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5" w:name="page186"/>
    <w:bookmarkEnd w:id="185"/>
    <w:p>
      <w:pPr>
        <w:ind w:right="60" w:firstLine="351"/>
        <w:spacing w:after="0" w:line="259" w:lineRule="auto"/>
        <w:rPr>
          <w:sz w:val="20"/>
          <w:szCs w:val="20"/>
          <w:color w:val="auto"/>
        </w:rPr>
      </w:pPr>
      <w:r>
        <w:rPr>
          <w:rFonts w:ascii="Arial" w:cs="Arial" w:eastAsia="Arial" w:hAnsi="Arial"/>
          <w:sz w:val="18"/>
          <w:szCs w:val="18"/>
          <w:color w:val="auto"/>
        </w:rPr>
        <w:t>Following the lock-up periods set forth in the agreements described above, and assuming that the representatives of the underwriters do not release any parties from these agreements, all of the shares of our common stock that are restricted securities or are held by our affiliates as of the date of this prospectus will be eligible for sale in the public market in compliance with Rule 144 under the Securities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231"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At our request, the underwriters have reserved up to 3% of the shares for sale at the initial public offering price to those who are directors, officers, employees, business associates and related persons to us through a directed share program. The number of shares available for sale to the general public will be reduced by the number of directed shares purchased by participants in the program. Except for certain of our officers, directors and employees who have entered into lock-up agreements, each person buying shares through the directed share program has agreed that, for a period of 180-days from the date of this prospectus, he or she will not, without the prior written consent of Morgan Stanley &amp; Co. LLC, dispose of or hedge any shares purchased in the program or any securities convertible into or exchangeable or redeemable for our common stock with respect to shares purchased in the program. For certain officers, directors and employees purchasing shares through the directed share program, the lock-up agreements described above with respect to the underwriting agreement shall govern with respect to their purchases. Any directed shares not purchased will be offered by the underwriters to the general public on the same basis as all other shares offered. We have agreed to indemnify the underwriters against certain liabilities and expenses, including liabilities under the Securities Act, in connection with the sales of the directed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general, under Rule 144, as currently in effect, once we have been subject to the public company reporting requirements of the Exchange Act for at least 90 days, a person (or persons whose shares are required to be aggregated) who is not deemed to have been one of our "affiliates" for purposes of Rule 144 at any time during the three months preceding a sale, and who has beneficially owned restricted securities within the meaning of Rule 144 for at least six months, including the holding period of any prior owner other than one of our "affiliates," is entitled to sell those shares in the public market (subject to the lock-up agreement referred to above, if applicable) without complying with the manner of sale, volume limitations or notice provisions of Rule 144, but subject to compliance with the public information requirements of Rule 144. If such a person has beneficially owned the shares proposed to be sold for at least one year, including the holding period of any prior owner other than "affiliates," then such person is entitled to sell such shares in the public market without complying with any of the requirements of Rule 144 (subject to the lock-up agreement referred to above, if applicable). 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upon expiration of any applicable lock-up agreements and within any three-month period, a number of those shares of our common stock that does not exceed the greater of:</w:t>
      </w:r>
    </w:p>
    <w:p>
      <w:pPr>
        <w:spacing w:after="0" w:line="195" w:lineRule="exact"/>
        <w:rPr>
          <w:sz w:val="20"/>
          <w:szCs w:val="20"/>
          <w:color w:val="auto"/>
        </w:rPr>
      </w:pPr>
    </w:p>
    <w:p>
      <w:pPr>
        <w:ind w:left="1080" w:right="20" w:hanging="532"/>
        <w:spacing w:after="0" w:line="268"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198,765 shares of common stock immediately after this offering (calculated as of September 26, 2019); or</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Select Market during the four calendar weeks preceding the filing of a notice on Form 144 with respect to such sale.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6" w:name="page187"/>
    <w:bookmarkEnd w:id="186"/>
    <w:p>
      <w:pPr>
        <w:ind w:right="100" w:firstLine="351"/>
        <w:spacing w:after="0" w:line="298" w:lineRule="auto"/>
        <w:rPr>
          <w:sz w:val="20"/>
          <w:szCs w:val="20"/>
          <w:color w:val="auto"/>
        </w:rPr>
      </w:pPr>
      <w:r>
        <w:rPr>
          <w:rFonts w:ascii="Arial" w:cs="Arial" w:eastAsia="Arial" w:hAnsi="Arial"/>
          <w:sz w:val="16"/>
          <w:szCs w:val="16"/>
          <w:color w:val="auto"/>
        </w:rPr>
        <w:t>Such sales under Rule 144 by our "affiliates" or persons selling shares on behalf of our "affiliates" are also subject to certain manner of sale provisions, notice requirements and to the availability of current public information about us. Notwithstanding the availability of Rule 144, the holders of substantially all of our capital stock and options have entered into lock-up agreements as referenced above and their restricted securities will become eligible for sale (subject to the above limitations under Rule 144) upon the expiration of the restrictions set forth in those agreements.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general, under Rule 701 as currently in effect, any of our employees, directors, officers, consultants or advisors who acquired common stock from us in connection with a written compensatory stock or option plan or other written agreement in compliance with Rule 701 under the Securities Act before the effective date of the registration statement of which this prospectus is a part (to the extent such common stock is not subject to a lock-up agreement) is entitled to rely on Rule 701 to resell such shares beginning 90 days after we become subject to the public company reporting requirements of the Exchange Act in reliance on Rule 144, but without compliance with the holding period requirements contained in Rule 144. Accordingly, subject to any applicable lock-up agreements, beginning 90 days after we become subject to the public company reporting requirements of the Exchange Act, under Rule 701 persons who are not our "affiliates," as defined in Rule 144, may resell those shares without complying with the minimum holding period or public information requirements of Rule 144, and persons who are our "affiliates" may resell those shares without compliance with Rule 144's minimum holding period requirements (subject to the terms of the lock-up agreement referred to above, if applicable).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Based on the number of shares of common stock outstanding as of September 26, 2019, after the completion of this offering, the holders of approximately 14,200,000 shares of our common stock, or their transferees, will, subject to any lock-up agreements they have entered into, be entitled to certain rights with respect to the registration of the offer and sale of those shares under the Securities Act. For a description of these registration rights, please see the section titled "Description of Capital Stock—Registration Rights." If the offer and sale of these shares are registered, they will be freely tradable without restriction under the Securities 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plans</w:t>
      </w:r>
    </w:p>
    <w:p>
      <w:pPr>
        <w:spacing w:after="0" w:line="231"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We intend to file with the SEC a registration statement under the Securities Act covering the shares of common stock reserved for issuance under our 2019 Stock Incentive Plan and 2019 Employee Stock Purchase Plan. Such registration statement is expected to be filed and become effective as soon as practicable after the completion of this offering. Accordingly, shares registered under such registration statement will be available for sale in the open market following its effective date, subject to Rule 144 volume limitations and the lock-up agreements described above, if applicable.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7" w:name="page188"/>
    <w:bookmarkEnd w:id="187"/>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 to Non-U.S. Holders</w:t>
      </w:r>
    </w:p>
    <w:p>
      <w:pPr>
        <w:spacing w:after="0" w:line="231"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following is a summary of material U.S. federal income tax consequences of the purchase, ownership and disposition of shares of our common stock as of the date hereof. Except where noted, this summary deals only with common stock that was acquired in this offering and that is held as a capital asset by a non-U.S. holder (as defined below).</w:t>
      </w:r>
    </w:p>
    <w:p>
      <w:pPr>
        <w:spacing w:after="0" w:line="194" w:lineRule="exact"/>
        <w:rPr>
          <w:sz w:val="20"/>
          <w:szCs w:val="20"/>
          <w:color w:val="auto"/>
        </w:rPr>
      </w:pPr>
    </w:p>
    <w:p>
      <w:pPr>
        <w:ind w:right="440" w:firstLine="341"/>
        <w:spacing w:after="0" w:line="268" w:lineRule="auto"/>
        <w:rPr>
          <w:sz w:val="20"/>
          <w:szCs w:val="20"/>
          <w:color w:val="auto"/>
        </w:rPr>
      </w:pPr>
      <w:r>
        <w:rPr>
          <w:rFonts w:ascii="Arial" w:cs="Arial" w:eastAsia="Arial" w:hAnsi="Arial"/>
          <w:sz w:val="18"/>
          <w:szCs w:val="18"/>
          <w:color w:val="auto"/>
        </w:rPr>
        <w:t>A "non-U.S. holder" means a beneficial owner of shares of our common stock (other than an entity treated as a partnership for U.S. federal income tax purposes) that is not, for U.S. federal income tax purposes, any of the following:</w:t>
      </w:r>
    </w:p>
    <w:p>
      <w:pPr>
        <w:spacing w:after="0" w:line="199" w:lineRule="exact"/>
        <w:rPr>
          <w:sz w:val="20"/>
          <w:szCs w:val="20"/>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25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for U.S. federal income tax purposes)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38"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trust if it (1) is subject to the primary supervision of a court within the United States and one or more U.S. persons as defined under the Code have the authority to control all substantial decisions of the trust or (2) has a valid election in effect under applicable U.S. Treasury regulations to be treated as a U.S. person.</w:t>
      </w:r>
    </w:p>
    <w:p>
      <w:pPr>
        <w:spacing w:after="0" w:line="194"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This summary is based upon provisions of the Internal Revenue Code of 1986, as amended (the "Code"), and regulations, rulings and judicial decisions as of the date hereof. Those authorities may be changed, perhaps retroactively, so as to result in U.S. federal income consequences different from those summarized below. This summary does not address all aspects of U.S. federal income taxes and does not deal with foreign, state, local or other tax considerations that may be relevant to non-U.S. holders in light of their particular circumstances. In addition, it does not represent a detailed description of the U.S. federal income tax consequences applicable to you if you are subject to special treatment under the U.S. federal income tax laws (including if you are a U.S. expatriate, foreign pension fund, "controlled foreign corporation," "passive foreign investment company" or a partnership or other pass-through entity for U.S. federal income tax purposes). We cannot assure you that a change in law will not alter significantly the tax considerations that we describe in this summary.</w:t>
      </w:r>
    </w:p>
    <w:p>
      <w:pPr>
        <w:spacing w:after="0" w:line="172" w:lineRule="exact"/>
        <w:rPr>
          <w:sz w:val="20"/>
          <w:szCs w:val="20"/>
          <w:color w:val="auto"/>
        </w:rPr>
      </w:pPr>
    </w:p>
    <w:p>
      <w:pPr>
        <w:jc w:val="both"/>
        <w:ind w:right="400" w:firstLine="351"/>
        <w:spacing w:after="0" w:line="259" w:lineRule="auto"/>
        <w:rPr>
          <w:sz w:val="20"/>
          <w:szCs w:val="20"/>
          <w:color w:val="auto"/>
        </w:rPr>
      </w:pPr>
      <w:r>
        <w:rPr>
          <w:rFonts w:ascii="Arial" w:cs="Arial" w:eastAsia="Arial" w:hAnsi="Arial"/>
          <w:sz w:val="18"/>
          <w:szCs w:val="18"/>
          <w:color w:val="auto"/>
        </w:rPr>
        <w:t>If a partnership (or other entity treated as a partnership for U.S. federal income tax purposes) holds shares of our common stock, the tax treatment of a partner and the partnership will generally depend upon the status of the partner and the activities of the partnership. If you are a partnership or a partner of a partnership holding our common stock, you should consult your tax advisors.</w:t>
      </w:r>
    </w:p>
    <w:p>
      <w:pPr>
        <w:spacing w:after="0" w:line="188" w:lineRule="exact"/>
        <w:rPr>
          <w:sz w:val="20"/>
          <w:szCs w:val="20"/>
          <w:color w:val="auto"/>
        </w:rPr>
      </w:pPr>
    </w:p>
    <w:p>
      <w:pPr>
        <w:ind w:right="100" w:firstLine="351"/>
        <w:spacing w:after="0" w:line="262" w:lineRule="auto"/>
        <w:rPr>
          <w:sz w:val="20"/>
          <w:szCs w:val="20"/>
          <w:color w:val="auto"/>
        </w:rPr>
      </w:pPr>
      <w:r>
        <w:rPr>
          <w:rFonts w:ascii="Arial" w:cs="Arial" w:eastAsia="Arial" w:hAnsi="Arial"/>
          <w:sz w:val="18"/>
          <w:szCs w:val="18"/>
          <w:b w:val="1"/>
          <w:bCs w:val="1"/>
          <w:color w:val="auto"/>
        </w:rPr>
        <w:t>If you are considering the purchase of our common stock, you should consult your own tax advisors concerning the particular U.S. federal income tax consequences to you of the purchase, ownership and disposition of our common stock, as well as the consequences to you arising under other U.S. federal tax laws and the tax laws of any state, local or other taxing jurisdiction.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 xml:space="preserve">We have never paid cash dividends on our common stock and we do not anticipate paying any cash dividends in the foreseeable future. See "Dividend Policy." If we make a distribution of cash or other property (other than certain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distributions of our stock) in respect of shares of our common stock, the distribution generally will be treated as a dividend for U.S. federal income tax purposes to the extent it is paid from our current or accumulated earnings and profits, as determined under U.S. federal income tax principles. Any portion of a distribution that exceeds our current and accumulated earnings and profits generally will be treated first as a tax-free return of capital, causing a</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88" w:name="page189"/>
    <w:bookmarkEnd w:id="188"/>
    <w:p>
      <w:pPr>
        <w:ind w:right="60"/>
        <w:spacing w:after="0" w:line="259" w:lineRule="auto"/>
        <w:rPr>
          <w:sz w:val="20"/>
          <w:szCs w:val="20"/>
          <w:color w:val="auto"/>
        </w:rPr>
      </w:pPr>
      <w:r>
        <w:rPr>
          <w:rFonts w:ascii="Arial" w:cs="Arial" w:eastAsia="Arial" w:hAnsi="Arial"/>
          <w:sz w:val="18"/>
          <w:szCs w:val="18"/>
          <w:color w:val="auto"/>
        </w:rPr>
        <w:t>reduction in the adjusted tax basis of a non-U.S. holder's common stock, and to the extent the amount of the distribution exceeds a non-U.S. holder's adjusted tax basis in shares of our common stock, the excess will be treated as gain from the disposition of shares of our common stock (the tax treatment of which is discussed below under "—Gain on Disposition of Common Stock").</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Dividends paid to a non-U.S. holder generally will be subject to withholding of U.S.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U.S. permanent establishment) are not subject to the withholding tax, provided certain certification and disclosure requirements are satisfied. Instead, such dividends are subject to U.S. federal income tax on a net income basis in the same manner as if the non-U.S. holder were a U.S.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74" w:lineRule="exact"/>
        <w:rPr>
          <w:sz w:val="20"/>
          <w:szCs w:val="20"/>
          <w:color w:val="auto"/>
        </w:rPr>
      </w:pPr>
    </w:p>
    <w:p>
      <w:pPr>
        <w:ind w:right="260" w:firstLine="341"/>
        <w:spacing w:after="0" w:line="294" w:lineRule="auto"/>
        <w:rPr>
          <w:sz w:val="20"/>
          <w:szCs w:val="20"/>
          <w:color w:val="auto"/>
        </w:rPr>
      </w:pPr>
      <w:r>
        <w:rPr>
          <w:rFonts w:ascii="Arial" w:cs="Arial" w:eastAsia="Arial" w:hAnsi="Arial"/>
          <w:sz w:val="16"/>
          <w:szCs w:val="16"/>
          <w:color w:val="auto"/>
        </w:rPr>
        <w:t>A non-U.S. holder who wishes to claim the benefit of an applicable treaty rate and avoid backup withholding, as discussed below, for dividends will be required (a) to provide the applicable withholding agent with a properly executed IRS Form W-BEN or Form W-8BEN-E (or other applicable form) certifying under penalty of perjury that such holder is not a U.S. person as defined under the Code and is eligible for treaty benefits or (b) if our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w:t>
      </w:r>
    </w:p>
    <w:p>
      <w:pPr>
        <w:spacing w:after="0" w:line="170" w:lineRule="exact"/>
        <w:rPr>
          <w:sz w:val="20"/>
          <w:szCs w:val="20"/>
          <w:color w:val="auto"/>
        </w:rPr>
      </w:pPr>
    </w:p>
    <w:p>
      <w:pPr>
        <w:ind w:right="280" w:firstLine="341"/>
        <w:spacing w:after="0" w:line="268" w:lineRule="auto"/>
        <w:rPr>
          <w:sz w:val="20"/>
          <w:szCs w:val="20"/>
          <w:color w:val="auto"/>
        </w:rPr>
      </w:pPr>
      <w:r>
        <w:rPr>
          <w:rFonts w:ascii="Arial" w:cs="Arial" w:eastAsia="Arial" w:hAnsi="Arial"/>
          <w:sz w:val="18"/>
          <w:szCs w:val="18"/>
          <w:color w:val="auto"/>
        </w:rPr>
        <w:t>A non-U.S. holder eligible for a reduced rate of U.S. federal withholding tax pursuant to an income tax treaty may obtain a refund of any excess amounts withheld by timely filing an appropriate claim for refund with the IRS.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Subject to the discussion of backup withholding and FATCA below, any gain realized by a non-U.S. holder on the sale or other disposition of our common stock generally will not be subject to U.S. federal income tax unless:</w:t>
      </w:r>
    </w:p>
    <w:p>
      <w:pPr>
        <w:spacing w:after="0" w:line="199" w:lineRule="exact"/>
        <w:rPr>
          <w:sz w:val="20"/>
          <w:szCs w:val="20"/>
          <w:color w:val="auto"/>
        </w:rPr>
      </w:pPr>
    </w:p>
    <w:p>
      <w:pPr>
        <w:ind w:left="1080" w:right="80" w:hanging="532"/>
        <w:spacing w:after="0" w:line="268"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of the non-U.S. holder in the United States (and, if required by an applicable income tax treaty, is attributable to a U.S. permanent establishment of the non-U.S. holder);</w:t>
      </w:r>
    </w:p>
    <w:p>
      <w:pPr>
        <w:spacing w:after="0" w:line="21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that disposition, and certain other conditions are met;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we are or have been a "United States real property holding corporation" for U.S. federal income tax purposes and certain other conditions are met.</w:t>
      </w:r>
    </w:p>
    <w:p>
      <w:pPr>
        <w:spacing w:after="0" w:line="260"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 non-U.S. holder described in the first bullet point immediately above will be subject to tax on the gain derived from the sale or other disposition in the same manner as if the non-U.S. holder were a U.S. person as defined under the Code.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U.S. source capital losses even though the individual is not considered a resident of the United States.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9" w:name="page190"/>
    <w:bookmarkEnd w:id="189"/>
    <w:p>
      <w:pPr>
        <w:ind w:firstLine="351"/>
        <w:spacing w:after="0" w:line="290" w:lineRule="auto"/>
        <w:rPr>
          <w:sz w:val="20"/>
          <w:szCs w:val="20"/>
          <w:color w:val="auto"/>
        </w:rPr>
      </w:pPr>
      <w:r>
        <w:rPr>
          <w:rFonts w:ascii="Arial" w:cs="Arial" w:eastAsia="Arial" w:hAnsi="Arial"/>
          <w:sz w:val="16"/>
          <w:szCs w:val="16"/>
          <w:color w:val="auto"/>
        </w:rPr>
        <w:t>Generally, a corporation is a "United States real property holding corporation" if the fair market value of its U.S. real property interests equals or exceeds 50% of the sum of the fair market value of its worldwide real property interests and its other assets used or held for use in a trade or business (all as determined for U.S. federal income tax purposes). We have not been, are not and do not anticipate becoming a U.S. real property holding corporation for U.S. federal income tax purposes. If we are or become a "United States real property holding corporation," however, so long as our common stock is regularly traded on an established securities market during the calendar year in which the sale or other disposition occurs, only a non-U.S. holder who holds or held (at any time during the shorter of the five-year period preceding the date of disposition or the holder's holding period) more than 5% of our common stock will be subject to U.S. federal income tax on the sale or other disposition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94"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A non-U.S. holder will not be subject to backup withholding on dividends received if such holder certifies under penalty of perjury that it is a non-U.S. holder (and the payor does not have actual knowledge or reason to know that such holder is a U.S. person as defined under the Code), or such holder otherwise establishes an exemption.</w:t>
      </w:r>
    </w:p>
    <w:p>
      <w:pPr>
        <w:spacing w:after="0" w:line="194"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Information reporting and, depending on the circumstances, backup withholding will apply to the proceeds of a sale or other disposition of our common stock made within the United States or conducted through certain U.S.-related financial intermediaries, unless the beneficial owner certifies under penalty of perjury that it is a non-U.S. holder (and the payor does not have actual knowledge or reason to know that the beneficial owner is a U.S. person as defined under the Code), or such owner otherwise establishes an exemption.</w:t>
      </w:r>
    </w:p>
    <w:p>
      <w:pPr>
        <w:spacing w:after="0" w:line="197"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Backup withholding is not an additional tax and any amounts withheld under the backup withholding rules will be allowed as a refund or a credit against a non-U.S. holder's U.S. federal income tax liability provided the required information is timely furnished to the IRS.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requirements under FATCA</w:t>
      </w:r>
    </w:p>
    <w:p>
      <w:pPr>
        <w:spacing w:after="0" w:line="23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Pursuant to sections 1471 through 1474 of the Code, commonly known as the Foreign Account Tax Compliance Act ("FATCA"), a 30% withholding tax may be imposed on certain payments to you or to certain foreign financial institutions, investment funds and other non- U.S. persons receiving payments on your behalf if you or such persons are subject to, and fail to comply with, certain information reporting requirements. Such payments will include U.S.-source dividends and the gross proceeds from the sale or other disposition of stock that can produce U.S.-source dividends. Payments of dividends that you receive in respect of shares of our common stock could be affected by this withholding if you are subject to FATCA information reporting requirements and fail to comply with them or if you hold shares of our common stock through a non-U.S. person (e.g., a foreign bank or broker) that fails to comply with these requirements (even if payments to you would not otherwise have been subject to FATCA withholding). Pursuant to recently proposed regulations, the U.S. Treasury Department has indicated its intent to eliminate the requirements under FATCA of withholding on gross proceeds. The U.S. Treasury Department has indicated that taxpayers may rely on these proposed regulations pending their finalization. An intergovernmental agreement between the United States and your country of residence (or the country of residence of the non-U.S. person receiving payments on your behalf) may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0" w:name="page191"/>
    <w:bookmarkEnd w:id="190"/>
    <w:p>
      <w:pPr>
        <w:ind w:right="480"/>
        <w:spacing w:after="0" w:line="268" w:lineRule="auto"/>
        <w:rPr>
          <w:sz w:val="20"/>
          <w:szCs w:val="20"/>
          <w:color w:val="auto"/>
        </w:rPr>
      </w:pPr>
      <w:r>
        <w:rPr>
          <w:rFonts w:ascii="Arial" w:cs="Arial" w:eastAsia="Arial" w:hAnsi="Arial"/>
          <w:sz w:val="18"/>
          <w:szCs w:val="18"/>
          <w:color w:val="auto"/>
        </w:rPr>
        <w:t>modify the requirements described above. You should consult your own tax advisors regarding the relevant U.S. law and other official guidance on FATCA withholding.</w:t>
      </w:r>
    </w:p>
    <w:p>
      <w:pPr>
        <w:spacing w:after="0" w:line="186"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If a dividend payment is both subject to withholding under FATCA and subject to the withholding tax discussed above under "—Dividends," the withholding under FATCA may be credited against, and therefore reduce, such other withholding tax. You should consult your own tax advisors regarding these requirements and whether they may be relevant to your ownership and disposition of our common stock.</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1" w:name="page192"/>
    <w:bookmarkEnd w:id="191"/>
    <w:p>
      <w:pPr>
        <w:jc w:val="center"/>
        <w:ind w:right="2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are offering the shares of common stock described in this prospectus through a number of underwriters. J.P. Morgan Securities LLC, Morgan</w:t>
      </w:r>
    </w:p>
    <w:p>
      <w:pPr>
        <w:spacing w:after="0" w:line="38" w:lineRule="exact"/>
        <w:rPr>
          <w:sz w:val="20"/>
          <w:szCs w:val="20"/>
          <w:color w:val="auto"/>
        </w:rPr>
      </w:pPr>
    </w:p>
    <w:p>
      <w:pPr>
        <w:jc w:val="both"/>
        <w:ind w:right="20"/>
        <w:spacing w:after="0" w:line="295" w:lineRule="auto"/>
        <w:rPr>
          <w:sz w:val="20"/>
          <w:szCs w:val="20"/>
          <w:color w:val="auto"/>
        </w:rPr>
      </w:pPr>
      <w:r>
        <w:rPr>
          <w:rFonts w:ascii="Arial" w:cs="Arial" w:eastAsia="Arial" w:hAnsi="Arial"/>
          <w:sz w:val="16"/>
          <w:szCs w:val="16"/>
          <w:color w:val="auto"/>
        </w:rPr>
        <w:t>Stanley &amp; Co. LLC and RBC Capital Markets, LLC are acting as joint book-running managers of the offering and as representatives of the underwriters. We have entered into an underwriting agreement with the representatives. Subject to the terms and conditions of the underwriting agreement, we have agreed to sell to the underwriters, and each underwriter has severally agreed to purchase, at the initial public offering price less the underwriting discounts and commissions set forth on the cover page of this prospectus, the number of shares of common stock listed next to its name in the following table:</w:t>
      </w:r>
    </w:p>
    <w:p>
      <w:pPr>
        <w:spacing w:after="0" w:line="15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1"/>
        </w:trPr>
        <w:tc>
          <w:tcPr>
            <w:tcW w:w="69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2,266,667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850,000</w:t>
            </w:r>
          </w:p>
        </w:tc>
        <w:tc>
          <w:tcPr>
            <w:tcW w:w="0" w:type="dxa"/>
            <w:vAlign w:val="bottom"/>
          </w:tcPr>
          <w:p>
            <w:pPr>
              <w:spacing w:after="0"/>
              <w:rPr>
                <w:sz w:val="1"/>
                <w:szCs w:val="1"/>
                <w:color w:val="auto"/>
              </w:rPr>
            </w:pP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5,666,667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The underwriters are committed to purchase all the common shares offered by us if they purchase any shares. The underwriting agreement also provides that if an underwriter defaults, the purchase commitments of non-defaulting underwriters may also be increased or the offering may be terminated.</w:t>
      </w:r>
    </w:p>
    <w:p>
      <w:pPr>
        <w:spacing w:after="0" w:line="139"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underwriters propose to offer the common shares directly to the public at the initial public offering price set forth on the cover page of this prospectus and to certain dealers at that price less a concession not in excess of $0.63 per share. Any such dealers may resell shares to certain other brokers or dealers at a discount of up to $0.21 per share from the initial public offering price. After the initial offering of the shares to the public, if all of the common shares are not sold at the initial public offering price, the underwriters may change the offering price and the other selling terms. Sales of shares made outside of the United States may be made by affiliates of the underwriters.</w:t>
      </w:r>
    </w:p>
    <w:p>
      <w:pPr>
        <w:spacing w:after="0" w:line="197"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underwriters have an option to buy up to 850,000 additional shares of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97" w:lineRule="exact"/>
        <w:rPr>
          <w:sz w:val="20"/>
          <w:szCs w:val="20"/>
          <w:color w:val="auto"/>
        </w:rPr>
      </w:pPr>
    </w:p>
    <w:p>
      <w:pPr>
        <w:ind w:right="300" w:firstLine="348"/>
        <w:spacing w:after="0" w:line="306" w:lineRule="auto"/>
        <w:rPr>
          <w:sz w:val="20"/>
          <w:szCs w:val="20"/>
          <w:color w:val="auto"/>
        </w:rPr>
      </w:pPr>
      <w:r>
        <w:rPr>
          <w:rFonts w:ascii="Arial" w:cs="Arial" w:eastAsia="Arial" w:hAnsi="Arial"/>
          <w:sz w:val="16"/>
          <w:szCs w:val="16"/>
          <w:color w:val="auto"/>
        </w:rPr>
        <w:t>The underwriting fee is equal to the public offering price per share of common stock less the amount paid by the underwriters to us per share of common stock. The underwriting fee is $1.05 per share. The following table shows the per share and total underwriting discounts and commissions to be paid to the underwriters assuming both no exercise and full exercise of the underwriters' option to purchase additional shares.</w:t>
      </w:r>
    </w:p>
    <w:p>
      <w:pPr>
        <w:spacing w:after="0" w:line="1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Without</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With full</w:t>
            </w: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option to</w:t>
            </w: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option to</w:t>
            </w: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purchase</w:t>
            </w: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purchase</w:t>
            </w: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additional</w:t>
            </w:r>
          </w:p>
        </w:tc>
        <w:tc>
          <w:tcPr>
            <w:tcW w:w="14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additional</w:t>
            </w: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79"/>
              </w:rPr>
              <w:t>shares</w:t>
            </w: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79"/>
              </w:rPr>
              <w:t>shares</w:t>
            </w:r>
          </w:p>
        </w:tc>
      </w:tr>
      <w:tr>
        <w:trPr>
          <w:trHeight w:val="161"/>
        </w:trPr>
        <w:tc>
          <w:tcPr>
            <w:tcW w:w="5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81"/>
              </w:rPr>
              <w:t>exercise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81"/>
              </w:rPr>
              <w:t>exercise</w:t>
            </w:r>
          </w:p>
        </w:tc>
        <w:tc>
          <w:tcPr>
            <w:tcW w:w="160" w:type="dxa"/>
            <w:vAlign w:val="bottom"/>
          </w:tcPr>
          <w:p>
            <w:pPr>
              <w:spacing w:after="0"/>
              <w:rPr>
                <w:sz w:val="14"/>
                <w:szCs w:val="14"/>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5,950,000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6,842,500</w:t>
            </w:r>
          </w:p>
        </w:tc>
      </w:tr>
    </w:tbl>
    <w:p>
      <w:pPr>
        <w:spacing w:after="0" w:line="201"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and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92" w:name="page193"/>
    <w:bookmarkEnd w:id="192"/>
    <w:p>
      <w:pPr>
        <w:spacing w:after="0" w:line="268" w:lineRule="auto"/>
        <w:rPr>
          <w:sz w:val="20"/>
          <w:szCs w:val="20"/>
          <w:color w:val="auto"/>
        </w:rPr>
      </w:pPr>
      <w:r>
        <w:rPr>
          <w:rFonts w:ascii="Arial" w:cs="Arial" w:eastAsia="Arial" w:hAnsi="Arial"/>
          <w:sz w:val="18"/>
          <w:szCs w:val="18"/>
          <w:color w:val="auto"/>
        </w:rPr>
        <w:t>commissions, will be approximately $3.2 million. We have agreed to reimburse the underwriters for expenses of up to $35,000 related to clearance of this offering with the Financial Industry Regulatory Authority, or FINRA.</w:t>
      </w:r>
    </w:p>
    <w:p>
      <w:pPr>
        <w:spacing w:after="0" w:line="186" w:lineRule="exact"/>
        <w:rPr>
          <w:sz w:val="20"/>
          <w:szCs w:val="20"/>
          <w:color w:val="auto"/>
        </w:rPr>
      </w:pPr>
    </w:p>
    <w:p>
      <w:pPr>
        <w:jc w:val="both"/>
        <w:ind w:right="480" w:firstLine="341"/>
        <w:spacing w:after="0" w:line="256"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this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97"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have agreed that we will not (i) offer, pledge, announce the intention to sell, sell, contract to sell, sell any option or contract to purchase, purchase any option or contract to sell, grant any option, right or warrant to purchase or otherwise dispose of, directly or indirectly, or file with the Securities and Exchange Commission a registration statement under the Securities Act, relating to, any shares of our common stock or securities convertible into or exchangeable or exercisable for any shares of our common stock, or publicly disclose the intention to make any offer, sale, pledge,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and Morgan Stanley &amp; Co. LLC for a period of 180 days after the date of this prospectus, other than the shares of our common stock to be sold hereunder and any shares of our common stock issued upon the exercise of options granted under our existing stock incentive plans.</w:t>
      </w:r>
    </w:p>
    <w:p>
      <w:pPr>
        <w:spacing w:after="0" w:line="174"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Our directors, executive officers and holders of substantially all outstanding shares have entered into lock-up agreements with the underwriters prior to the commencement of this offering pursuant to which each of these persons or entities, with limited exceptions, for a period of 180 days after the date of this prospectus, may not, without the prior written consent of J.P. Morgan Securities LLC and Morgan Stanley &amp; Co. LLC, (1) offer, pledge, announce the intention to sell,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directors, executive officers, managers and members in accordance with the rules and regulations of the SEC and securities which may be issued upon exercise of a stock option or warrant) or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 (3) make any demand for or exercise any right with respect to the registration of any shares of our common stock or any security convertible into or exercisable or exchangeable for our common stock.</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restrictions described in the immediately preceding paragraph do not apply to, among other items, transfers or dispositions of shares of common stock:</w:t>
      </w:r>
    </w:p>
    <w:p>
      <w:pPr>
        <w:spacing w:after="0" w:line="262"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as a bona fide gift or gifts or for bona fide estate planning purposes;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immediate family members or any trust or other legal entity for the direct or indirect benefit of the party subject to the lock-up restrictions or the immediate family of such person;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by will, other testamentary document or intestate succession subject to the lockup restrictions;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3" w:name="page194"/>
    <w:bookmarkEnd w:id="193"/>
    <w:p>
      <w:pPr>
        <w:ind w:left="1080" w:right="200" w:hanging="532"/>
        <w:spacing w:after="0" w:line="268"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any corporation, partnership, limited liability company, trust or other business entity under the ownership of the party or managers, managing members, partners, stockholders, all subject to the lock-up restrictions;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as transfers to affiliates, investment funds or other entities controlled or managed by the party subject to the lock-up restrictions;</w:t>
      </w:r>
    </w:p>
    <w:p>
      <w:pPr>
        <w:spacing w:after="0" w:line="238"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pursuant to a bona fide third-party tender offer, merger, consolidation or other similar transaction made to all holders of our common stock involving a change of control; provided that in the event such tender offer, merger, consolidation or other such transaction is not completed, the shares of our common stock shall remain subject to the lock-up restrictions;</w:t>
      </w:r>
    </w:p>
    <w:p>
      <w:pPr>
        <w:spacing w:after="0" w:line="207"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exercise of outstanding warrants or options to purchase shares of common stock granted under any stock incentive plan or stock purchase plan of ours, provided that the underlying shares shall continue to be subject to the lock-up restrictions;</w:t>
      </w:r>
    </w:p>
    <w:p>
      <w:pPr>
        <w:spacing w:after="0" w:line="212" w:lineRule="exact"/>
        <w:rPr>
          <w:rFonts w:ascii="Arial" w:cs="Arial" w:eastAsia="Arial" w:hAnsi="Arial"/>
          <w:sz w:val="18"/>
          <w:szCs w:val="18"/>
          <w:color w:val="auto"/>
        </w:rPr>
      </w:pPr>
    </w:p>
    <w:p>
      <w:pPr>
        <w:ind w:left="1080" w:right="180" w:hanging="532"/>
        <w:spacing w:after="0" w:line="298" w:lineRule="auto"/>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transfers or surrenders to the Company of shares of common stock pursuant to any contractual arrangement that provides the Company with an option to repurchase such shares in connection with the termination of the party subject to the lock-up's employment or service relationship with us, or on a cashless or "net exercise" basis or to cover tax withholding obligations of the party subject to the lock-up, in connection with the vesting or exercise of such shares of common stock or other securities; and</w:t>
      </w:r>
    </w:p>
    <w:p>
      <w:pPr>
        <w:spacing w:after="0" w:line="180" w:lineRule="exact"/>
        <w:rPr>
          <w:rFonts w:ascii="Arial" w:cs="Arial" w:eastAsia="Arial" w:hAnsi="Arial"/>
          <w:sz w:val="16"/>
          <w:szCs w:val="16"/>
          <w:color w:val="auto"/>
        </w:rPr>
      </w:pPr>
    </w:p>
    <w:p>
      <w:pPr>
        <w:ind w:left="1080" w:right="520" w:hanging="532"/>
        <w:spacing w:after="0" w:line="268"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transactions relating to common stock or other securities convertible into or exercisable or exchangeable for common stock acquired in this offering or in open market transactions after the completion of this offering</w:t>
      </w:r>
    </w:p>
    <w:p>
      <w:pPr>
        <w:spacing w:after="0" w:line="185" w:lineRule="exact"/>
        <w:rPr>
          <w:rFonts w:ascii="Arial" w:cs="Arial" w:eastAsia="Arial" w:hAnsi="Arial"/>
          <w:sz w:val="18"/>
          <w:szCs w:val="18"/>
          <w:color w:val="auto"/>
        </w:rPr>
      </w:pPr>
    </w:p>
    <w:p>
      <w:pPr>
        <w:jc w:val="both"/>
        <w:ind w:left="1080"/>
        <w:spacing w:after="0" w:line="256" w:lineRule="auto"/>
        <w:rPr>
          <w:rFonts w:ascii="Arial" w:cs="Arial" w:eastAsia="Arial" w:hAnsi="Arial"/>
          <w:sz w:val="18"/>
          <w:szCs w:val="18"/>
          <w:color w:val="auto"/>
        </w:rPr>
      </w:pPr>
      <w:r>
        <w:rPr>
          <w:rFonts w:ascii="Arial" w:cs="Arial" w:eastAsia="Arial" w:hAnsi="Arial"/>
          <w:sz w:val="18"/>
          <w:szCs w:val="18"/>
          <w:color w:val="auto"/>
        </w:rPr>
        <w:t>provided that in the case of any transfer or distribution pursuant to the subclauses above, (i) each donee or distributee shall sign and deliver a lock-up letter in the form executed by the party subject to the lock up restrictions and (ii) no filing or other public announcement under Section 16(a)of the Exchange Act of 1934, as amended, or the Exchange Act, shall be required or shall be voluntarily made during the restricted period (other than a filing on Form 5 after the restricted period has ended);</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and the establishment of a trading plan pursuant to Rule 10b5-1 under the Exchange Act for the transfer of shares of common stock, provided that</w:t>
      </w:r>
    </w:p>
    <w:p>
      <w:pPr>
        <w:spacing w:after="0" w:line="49" w:lineRule="exact"/>
        <w:rPr>
          <w:rFonts w:ascii="Arial" w:cs="Arial" w:eastAsia="Arial" w:hAnsi="Arial"/>
          <w:sz w:val="15"/>
          <w:szCs w:val="15"/>
          <w:color w:val="auto"/>
        </w:rPr>
      </w:pPr>
    </w:p>
    <w:p>
      <w:pPr>
        <w:ind w:left="1080" w:right="120"/>
        <w:spacing w:after="0" w:line="255" w:lineRule="auto"/>
        <w:rPr>
          <w:rFonts w:ascii="Arial" w:cs="Arial" w:eastAsia="Arial" w:hAnsi="Arial"/>
          <w:sz w:val="15"/>
          <w:szCs w:val="15"/>
          <w:color w:val="auto"/>
        </w:rPr>
      </w:pPr>
      <w:r>
        <w:rPr>
          <w:rFonts w:ascii="Arial" w:cs="Arial" w:eastAsia="Arial" w:hAnsi="Arial"/>
          <w:sz w:val="18"/>
          <w:szCs w:val="18"/>
          <w:color w:val="auto"/>
        </w:rPr>
        <w:t>(i) such plan does not provide for the transfer of shares of common stock during the restricted period and (ii) no filing under the Exchange Act or other public announcement shall be required or voluntarily made by or on behalf of the party subject to the lock-up restrictions regarding the establishment of such plan.</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has been approved for listing on The Nasdaq Global Select Market under the symbol "APRE."</w:t>
      </w:r>
    </w:p>
    <w:p>
      <w:pPr>
        <w:spacing w:after="0" w:line="225"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194" w:name="page195"/>
    <w:bookmarkEnd w:id="194"/>
    <w:p>
      <w:pPr>
        <w:spacing w:after="0" w:line="294" w:lineRule="auto"/>
        <w:rPr>
          <w:sz w:val="20"/>
          <w:szCs w:val="20"/>
          <w:color w:val="auto"/>
        </w:rPr>
      </w:pPr>
      <w:r>
        <w:rPr>
          <w:rFonts w:ascii="Arial" w:cs="Arial" w:eastAsia="Arial" w:hAnsi="Arial"/>
          <w:sz w:val="16"/>
          <w:szCs w:val="16"/>
          <w:color w:val="auto"/>
        </w:rPr>
        <w:t>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70"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67"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NASDAQ, in the over-the-counter market or otherwise.</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208" w:lineRule="exact"/>
        <w:rPr>
          <w:sz w:val="20"/>
          <w:szCs w:val="20"/>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common shares, or that the shares will trade in the public market at or above the initial public offering price.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may in the future provide various commercial banking, financial advisory or investment banking advice or other services in the ordinary course of their business, for which they will receive customary fees and commissions. In addition, from time to time, certain of the underwriters and their respective affiliates, officers, directors and employees may effect transactions for their own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5" w:name="page196"/>
    <w:bookmarkEnd w:id="195"/>
    <w:p>
      <w:pPr>
        <w:ind w:right="20"/>
        <w:spacing w:after="0" w:line="256" w:lineRule="auto"/>
        <w:rPr>
          <w:sz w:val="20"/>
          <w:szCs w:val="20"/>
          <w:color w:val="auto"/>
        </w:rPr>
      </w:pPr>
      <w:r>
        <w:rPr>
          <w:rFonts w:ascii="Arial" w:cs="Arial" w:eastAsia="Arial" w:hAnsi="Arial"/>
          <w:sz w:val="18"/>
          <w:szCs w:val="18"/>
          <w:color w:val="auto"/>
        </w:rPr>
        <w:t>account or the account of customers, and hold on behalf of themselves or their customers, long or short positions in our debt or equity securities or loans, and may do so in the future. The underwriters and their respective affiliates may also communicate independent investment recommendations, market color or trading ideas and/or publish or express independent research views in respect of our securities and may at any time hold, or recommend to clients that they should acquire, long and/or short positions in our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231"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At our request, the underwriters have reserved up to 3% of the shares of common stock to be issued by the Company and offered by this prospectus for sale, at the initial public offering price, to directors, officers, employees, business associates and related persons of the Company. If purchased by these persons, these shares will be subject to a 180-day lock-up restriction. The number of shares of common stock available for sale to the general public will be reduced to the extent these individuals purchase such reserved shares. Any reserved shares that are not so purchased will be offered by the underwriters to the general public on the same basis as the other shares offered by this prospectus.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This prospectus is not a disclosure document under Chapter 6D of the Australian Corporations Act, has not been lodged with the Australian Securities and Investments Commission and does not purport to include the information required of a disclosure document under Chapter 6D of the Australian Corporations Act. Accordingly, (i) the offer of the securities under this prospectus is only made to persons to whom it is lawful to offer the securities without disclosure under Chapter 6D of the Australian Corporations Act under one or more exemptions set out in section 708 of the Australian Corporations Act, (ii) this prospectus is made available in Australia only to those persons as set forth in clause (i) above, and (iii) the offeree must be sent a notice stating in substance that by accepting this offer, the offeree represents that the offeree is such a person as set forth in clause (i) above, and, unless permitted under the Australian Corporations Act, agrees not to sell or offer for sale within Australia any of the securities sold to the offeree within 12 months after its transfer to the offeree under this prospectus.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w:t>
      </w:r>
    </w:p>
    <w:p>
      <w:pPr>
        <w:spacing w:after="0" w:line="225"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 Requirements, Exemptions and Ongoing Registrant Obligations</w:t>
      </w:r>
      <w:r>
        <w:rPr>
          <w:rFonts w:ascii="Arial" w:cs="Arial" w:eastAsia="Arial" w:hAnsi="Arial"/>
          <w:sz w:val="18"/>
          <w:szCs w:val="18"/>
          <w:color w:val="auto"/>
        </w:rPr>
        <w:t>. Any resale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6" w:name="page197"/>
    <w:bookmarkEnd w:id="196"/>
    <w:p>
      <w:pPr>
        <w:jc w:val="center"/>
        <w:ind w:right="240"/>
        <w:spacing w:after="0"/>
        <w:rPr>
          <w:sz w:val="20"/>
          <w:szCs w:val="20"/>
          <w:color w:val="auto"/>
        </w:rPr>
      </w:pPr>
      <w:r>
        <w:rPr>
          <w:rFonts w:ascii="Arial" w:cs="Arial" w:eastAsia="Arial" w:hAnsi="Arial"/>
          <w:sz w:val="15"/>
          <w:szCs w:val="15"/>
          <w:color w:val="auto"/>
        </w:rPr>
        <w:t>of the shares must be made in accordance with an exemption from, or in a transaction not subject to, the prospectus requirements of applicable securities laws.</w:t>
      </w:r>
    </w:p>
    <w:p>
      <w:pPr>
        <w:spacing w:after="0" w:line="260"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7"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representatives are not required to comply with the disclosure requirements of NI 33-105 regarding underwriter conflicts of interest in connection with this offering.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relation to each Member State of the European Economic Area (each, a "Relevant Member State"), no offer of shares may be made to the public in that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Relevant Member State other than:</w:t>
      </w:r>
    </w:p>
    <w:p>
      <w:pPr>
        <w:spacing w:after="0" w:line="232" w:lineRule="exact"/>
        <w:rPr>
          <w:sz w:val="20"/>
          <w:szCs w:val="20"/>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52" w:lineRule="exact"/>
        <w:rPr>
          <w:rFonts w:ascii="Arial" w:cs="Arial" w:eastAsia="Arial" w:hAnsi="Arial"/>
          <w:sz w:val="18"/>
          <w:szCs w:val="18"/>
          <w:color w:val="auto"/>
        </w:rPr>
      </w:pPr>
    </w:p>
    <w:p>
      <w:pPr>
        <w:ind w:left="1080" w:right="200" w:hanging="532"/>
        <w:spacing w:after="0" w:line="259"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or</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provided that no such offer of shares shall require the Company or the representatives to publish a prospectus pursuant to Article 3 of the Prospectus Directive or supplement a prospectus pursuant to Article 16 of the Prospectus Directive.</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Each person in a Relevant Member State who initially acquires any shares or to whom any offer is made will be deemed to have represented, acknowledged and agreed that it is a "qualified investor" within the meaning of the law in that Relevant Member State implementing Article 2(1)(e) of the Prospectus Directive. 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representatives has been obtained to each such proposed offer or resale.</w:t>
      </w:r>
    </w:p>
    <w:p>
      <w:pPr>
        <w:spacing w:after="0" w:line="172"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The Company, the representatives and their affiliates will rely upon the truth and accuracy of the foregoing representations, acknowledgements and agreements.</w:t>
      </w:r>
    </w:p>
    <w:p>
      <w:pPr>
        <w:spacing w:after="0" w:line="186" w:lineRule="exact"/>
        <w:rPr>
          <w:sz w:val="20"/>
          <w:szCs w:val="20"/>
          <w:color w:val="auto"/>
        </w:rPr>
      </w:pPr>
    </w:p>
    <w:p>
      <w:pPr>
        <w:ind w:right="220" w:firstLine="348"/>
        <w:spacing w:after="0" w:line="291" w:lineRule="auto"/>
        <w:rPr>
          <w:sz w:val="20"/>
          <w:szCs w:val="20"/>
          <w:color w:val="auto"/>
        </w:rPr>
      </w:pPr>
      <w:r>
        <w:rPr>
          <w:rFonts w:ascii="Arial" w:cs="Arial" w:eastAsia="Arial" w:hAnsi="Arial"/>
          <w:sz w:val="16"/>
          <w:szCs w:val="16"/>
          <w:color w:val="auto"/>
        </w:rPr>
        <w:t>This prospectus has been prepared on the basis that any offer of shares in any Relevant Member State will be made pursuant to an exemption under the Prospectus Directive from the requirement to publish a prospectus for offers of shares. Accordingly, any person making or intending to make an offer in that Relevant Member State of shares which are the subject of the offering contemplated in this prospectus may only do so in circumstances in which no obligation arises for the Company or any of the underwriters to publish a prospectus pursuant to Article 3 of the Prospectus Directive in relation to such offer. Neither the Company nor the underwriters have authorized, nor do they authorize, the making of any offer of shares in circumstances in which an obligation arises for the Company or the underwriters to publish a prospectus for such offer.</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7" w:name="page198"/>
    <w:bookmarkEnd w:id="197"/>
    <w:p>
      <w:pPr>
        <w:ind w:right="80" w:firstLine="351"/>
        <w:spacing w:after="0" w:line="254" w:lineRule="auto"/>
        <w:rPr>
          <w:sz w:val="20"/>
          <w:szCs w:val="20"/>
          <w:color w:val="auto"/>
        </w:rPr>
      </w:pPr>
      <w:r>
        <w:rPr>
          <w:rFonts w:ascii="Arial" w:cs="Arial" w:eastAsia="Arial" w:hAnsi="Arial"/>
          <w:sz w:val="18"/>
          <w:szCs w:val="18"/>
          <w:color w:val="auto"/>
        </w:rPr>
        <w:t>For the purpose of the above provisions, the expression "an offer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225"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The shares may not be offered or sold by means of any document other than (i) in circumstances that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that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that are or are intended to be disposed of only to persons outside Hong Kong or only to "professional investors" within the meaning of the Securities and Futures Ordinance (Cap. 571, Laws of Hong Kong) and any rules made thereunder.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225"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The securities have not been and will not be registered under the Financial Instruments and Exchange Law of Japan, or the Financial Instruments and Exchange Law, and each underwriter has agreed that it will not offer or sell any securities, directly or indirectly, in Japan or to, or for the benefit of, any resident of Japan (which term, as used in this prospectus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225"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98" w:lineRule="exact"/>
        <w:rPr>
          <w:sz w:val="20"/>
          <w:szCs w:val="20"/>
          <w:color w:val="auto"/>
        </w:rPr>
      </w:pPr>
    </w:p>
    <w:p>
      <w:pPr>
        <w:ind w:right="140" w:firstLine="348"/>
        <w:spacing w:after="0" w:line="305" w:lineRule="auto"/>
        <w:rPr>
          <w:sz w:val="20"/>
          <w:szCs w:val="20"/>
          <w:color w:val="auto"/>
        </w:rPr>
      </w:pPr>
      <w:r>
        <w:rPr>
          <w:rFonts w:ascii="Arial" w:cs="Arial" w:eastAsia="Arial" w:hAnsi="Arial"/>
          <w:sz w:val="15"/>
          <w:szCs w:val="15"/>
          <w:color w:val="auto"/>
        </w:rPr>
        <w:t>Where the shares are subscribed or purchased under Section 275 by a relevant person that is: (a) a corporation (which is not an accredited investor) the sole business of which is to hold investments and the entire share capital of which is owned by one or more individuals, each of whom is an accredited investor; or</w:t>
      </w:r>
    </w:p>
    <w:p>
      <w:pPr>
        <w:ind w:left="5580" w:right="5220" w:hanging="5572"/>
        <w:spacing w:after="0" w:line="662" w:lineRule="auto"/>
        <w:tabs>
          <w:tab w:leader="none" w:pos="254" w:val="left"/>
        </w:tabs>
        <w:numPr>
          <w:ilvl w:val="0"/>
          <w:numId w:val="108"/>
        </w:numPr>
        <w:rPr>
          <w:rFonts w:ascii="Arial" w:cs="Arial" w:eastAsia="Arial" w:hAnsi="Arial"/>
          <w:sz w:val="15"/>
          <w:szCs w:val="15"/>
          <w:color w:val="auto"/>
        </w:rPr>
      </w:pPr>
      <w:r>
        <w:rPr>
          <w:rFonts w:ascii="Arial" w:cs="Arial" w:eastAsia="Arial" w:hAnsi="Arial"/>
          <w:sz w:val="15"/>
          <w:szCs w:val="15"/>
          <w:color w:val="auto"/>
        </w:rPr>
        <w:t>a trust (where the trustee is not an accredited investor) whose sole purpose is to hold 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8" w:name="page199"/>
    <w:bookmarkEnd w:id="198"/>
    <w:p>
      <w:pPr>
        <w:ind w:right="280"/>
        <w:spacing w:after="0" w:line="298" w:lineRule="auto"/>
        <w:rPr>
          <w:sz w:val="20"/>
          <w:szCs w:val="20"/>
          <w:color w:val="auto"/>
        </w:rPr>
      </w:pPr>
      <w:r>
        <w:rPr>
          <w:rFonts w:ascii="Arial" w:cs="Arial" w:eastAsia="Arial" w:hAnsi="Arial"/>
          <w:sz w:val="16"/>
          <w:szCs w:val="16"/>
          <w:color w:val="auto"/>
        </w:rPr>
        <w:t>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Switzerland</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this offering, may be publicly distributed or otherwise made publicly available in Switzerland. Neither this document nor any other offering or marketing material relating to this offering, the Company, or the shares has been or will be filed with or approved by any Swiss regulatory authority. In particular, this document will not be filed with, and the offer of shares will not be supervised by, the Swiss Financial Market Supervisory Authority FINMA,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this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 (2) (a) to (d) of the Order (all such persons together being referred to as "relevant persons").</w:t>
      </w:r>
    </w:p>
    <w:p>
      <w:pPr>
        <w:spacing w:after="0" w:line="197" w:lineRule="exact"/>
        <w:rPr>
          <w:sz w:val="20"/>
          <w:szCs w:val="20"/>
          <w:color w:val="auto"/>
        </w:rPr>
      </w:pPr>
    </w:p>
    <w:p>
      <w:pPr>
        <w:jc w:val="both"/>
        <w:ind w:right="400" w:firstLine="341"/>
        <w:spacing w:after="0" w:line="306" w:lineRule="auto"/>
        <w:rPr>
          <w:sz w:val="20"/>
          <w:szCs w:val="20"/>
          <w:color w:val="auto"/>
        </w:rPr>
      </w:pPr>
      <w:r>
        <w:rPr>
          <w:rFonts w:ascii="Arial" w:cs="Arial" w:eastAsia="Arial" w:hAnsi="Arial"/>
          <w:sz w:val="16"/>
          <w:szCs w:val="16"/>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Any person in the United Kingdom that is not a relevant person should not act or rely on this document or any of its contents.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9" w:name="page200"/>
    <w:bookmarkEnd w:id="199"/>
    <w:p>
      <w:pPr>
        <w:jc w:val="center"/>
        <w:ind w:right="2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540" w:firstLine="348"/>
        <w:spacing w:after="0" w:line="332" w:lineRule="auto"/>
        <w:rPr>
          <w:sz w:val="20"/>
          <w:szCs w:val="20"/>
          <w:color w:val="auto"/>
        </w:rPr>
      </w:pPr>
      <w:r>
        <w:rPr>
          <w:rFonts w:ascii="Arial" w:cs="Arial" w:eastAsia="Arial" w:hAnsi="Arial"/>
          <w:sz w:val="16"/>
          <w:szCs w:val="16"/>
          <w:color w:val="auto"/>
        </w:rPr>
        <w:t>The validity of the shares of our common stock offered hereby is being passed upon for us by Sidley Austin LLP, New York, New York. Certain legal matters relating to this offering will be passed upon for the underwriters by Davis Polk &amp; Wardwell LLP, New York, New York.</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consolidated financial statements of Aprea Therapeutics AB at December 31, 2017 and 2018, and for each of the two years in the period ended December 31, 2018, appearing in this Prospectus and Registration Statement have been audited by Ernst &amp; Young AB, independent registered public accounting firm, as set forth in their report thereon appearing elsewhere herein, and are included in reliance upon such report given on the authority of such firm as experts in accounting and auditing.</w:t>
      </w:r>
    </w:p>
    <w:p>
      <w:pPr>
        <w:spacing w:after="0" w:line="197"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balance sheet of Aprea Therapeutics, Inc. at July 11, 2019, appearing in this Prospectus and Registration Statement has been audited by Ernst &amp; Young AB, independent registered public accounting firm, as set forth in their report thereon appearing elsewhere herein, and is included in reliance upon such report given on the authority of such firm as experts in accounting and auditing.</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registered business address of Ernst &amp; Young AB is Box 7850, 103 99, Stockholm, Sweden.</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our common stock we are offering to sell. This prospectus, which constitutes part of the registration statement, does not include all of the information contained in the registration statement and the exhibits, schedules and amendments to the registration statement. Some items are omitted in accordance with the rules and regulations of the SEC. For further information with respect to us and our common stock, we refer you to the registration statement and to the exhibits, schedules and amendments to the registration statement. Statements contained in this prospectus about the contents of any contract, agreement or other document filed as an exhibit are not necessarily complete, and, in each instance, we refer you to the copy of the contract, agreement or other document filed as an exhibit to the registration statement. Each of these statements is qualified in all respects by this reference.</w:t>
      </w:r>
    </w:p>
    <w:p>
      <w:pPr>
        <w:spacing w:after="0" w:line="17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Upon completion of this offering, we will be subject to the information reporting requirements of the Securities Exchange Act, and we will file reports, proxy statements and other information with the SEC. We intend to furnish our stockholders with annual reports containing financial statements certified by an independent registered public accounting firm. We also maintain a website at www.aprea.com. The information contained on, or that can be accessed through, our website is not a part of, and is not incorporated into, this prospectus. We have included our website address in this prospectus solely as an inactive textual reference.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228"/>
        </w:trPr>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560" w:type="dxa"/>
            <w:vAlign w:val="bottom"/>
            <w:gridSpan w:val="12"/>
          </w:tcPr>
          <w:p>
            <w:pPr>
              <w:jc w:val="center"/>
              <w:ind w:right="2600"/>
              <w:spacing w:after="0"/>
              <w:rPr>
                <w:sz w:val="20"/>
                <w:szCs w:val="20"/>
                <w:color w:val="auto"/>
              </w:rPr>
            </w:pPr>
            <w:r>
              <w:rPr>
                <w:rFonts w:ascii="Arial" w:cs="Arial" w:eastAsia="Arial" w:hAnsi="Arial"/>
                <w:sz w:val="18"/>
                <w:szCs w:val="18"/>
                <w:b w:val="1"/>
                <w:bCs w:val="1"/>
                <w:color w:val="auto"/>
                <w:w w:val="88"/>
              </w:rPr>
              <w:t>Index to Financial Statements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32"/>
        </w:trPr>
        <w:tc>
          <w:tcPr>
            <w:tcW w:w="1140" w:type="dxa"/>
            <w:vAlign w:val="bottom"/>
          </w:tcPr>
          <w:p>
            <w:pPr>
              <w:spacing w:after="0"/>
              <w:rPr>
                <w:sz w:val="24"/>
                <w:szCs w:val="24"/>
                <w:color w:val="auto"/>
              </w:rPr>
            </w:pPr>
          </w:p>
        </w:tc>
        <w:tc>
          <w:tcPr>
            <w:tcW w:w="8640" w:type="dxa"/>
            <w:vAlign w:val="bottom"/>
            <w:gridSpan w:val="19"/>
          </w:tcPr>
          <w:p>
            <w:pPr>
              <w:spacing w:after="0"/>
              <w:rPr>
                <w:sz w:val="20"/>
                <w:szCs w:val="20"/>
                <w:color w:val="auto"/>
              </w:rPr>
            </w:pPr>
            <w:r>
              <w:rPr>
                <w:rFonts w:ascii="Arial" w:cs="Arial" w:eastAsia="Arial" w:hAnsi="Arial"/>
                <w:sz w:val="18"/>
                <w:szCs w:val="18"/>
                <w:b w:val="1"/>
                <w:bCs w:val="1"/>
                <w:color w:val="auto"/>
              </w:rPr>
              <w:t>Audited Financial Statements of Aprea Therapeutics, Inc.</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640" w:type="dxa"/>
            <w:vAlign w:val="bottom"/>
            <w:gridSpan w:val="19"/>
          </w:tcPr>
          <w:p>
            <w:pPr>
              <w:spacing w:after="0"/>
              <w:rPr>
                <w:rFonts w:ascii="Arial" w:cs="Arial" w:eastAsia="Arial" w:hAnsi="Arial"/>
                <w:sz w:val="18"/>
                <w:szCs w:val="18"/>
                <w:color w:val="0000EE"/>
              </w:rPr>
            </w:pPr>
            <w:hyperlink w:anchor="page202">
              <w:r>
                <w:rPr>
                  <w:rFonts w:ascii="Arial" w:cs="Arial" w:eastAsia="Arial" w:hAnsi="Arial"/>
                  <w:sz w:val="18"/>
                  <w:szCs w:val="18"/>
                  <w:color w:val="0000EE"/>
                </w:rPr>
                <w:t>Report of Independent Registered Public Accounting Firm</w:t>
              </w:r>
            </w:hyperlink>
          </w:p>
        </w:tc>
        <w:tc>
          <w:tcPr>
            <w:tcW w:w="100" w:type="dxa"/>
            <w:vAlign w:val="bottom"/>
          </w:tcPr>
          <w:p>
            <w:pPr>
              <w:spacing w:after="0"/>
              <w:rPr>
                <w:sz w:val="24"/>
                <w:szCs w:val="24"/>
                <w:color w:val="auto"/>
              </w:rPr>
            </w:pPr>
          </w:p>
        </w:tc>
        <w:tc>
          <w:tcPr>
            <w:tcW w:w="1540" w:type="dxa"/>
            <w:vAlign w:val="bottom"/>
            <w:gridSpan w:val="2"/>
          </w:tcPr>
          <w:p>
            <w:pPr>
              <w:jc w:val="right"/>
              <w:ind w:right="1300"/>
              <w:spacing w:after="0"/>
              <w:rPr>
                <w:rFonts w:ascii="Arial" w:cs="Arial" w:eastAsia="Arial" w:hAnsi="Arial"/>
                <w:sz w:val="18"/>
                <w:szCs w:val="18"/>
                <w:color w:val="0000EE"/>
                <w:w w:val="81"/>
              </w:rPr>
            </w:pPr>
            <w:hyperlink w:anchor="page202">
              <w:r>
                <w:rPr>
                  <w:rFonts w:ascii="Arial" w:cs="Arial" w:eastAsia="Arial" w:hAnsi="Arial"/>
                  <w:sz w:val="18"/>
                  <w:szCs w:val="18"/>
                  <w:color w:val="0000EE"/>
                  <w:w w:val="81"/>
                </w:rPr>
                <w:t>F-2</w:t>
              </w:r>
            </w:hyperlink>
          </w:p>
        </w:tc>
      </w:tr>
      <w:tr>
        <w:trPr>
          <w:trHeight w:val="196"/>
        </w:trPr>
        <w:tc>
          <w:tcPr>
            <w:tcW w:w="114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6"/>
              </w:rPr>
            </w:pPr>
            <w:hyperlink w:anchor="page203">
              <w:r>
                <w:rPr>
                  <w:rFonts w:ascii="Arial" w:cs="Arial" w:eastAsia="Arial" w:hAnsi="Arial"/>
                  <w:sz w:val="18"/>
                  <w:szCs w:val="18"/>
                  <w:color w:val="0000EE"/>
                  <w:w w:val="86"/>
                </w:rPr>
                <w:t>Balance Sheet as of July 11, 2019</w:t>
              </w:r>
            </w:hyperlink>
          </w:p>
        </w:tc>
        <w:tc>
          <w:tcPr>
            <w:tcW w:w="1740" w:type="dxa"/>
            <w:vAlign w:val="bottom"/>
            <w:tcBorders>
              <w:top w:val="single" w:sz="8" w:color="0000EE"/>
            </w:tcBorders>
            <w:gridSpan w:val="3"/>
          </w:tcPr>
          <w:p>
            <w:pPr>
              <w:spacing w:after="0"/>
              <w:rPr>
                <w:sz w:val="17"/>
                <w:szCs w:val="17"/>
                <w:color w:val="auto"/>
              </w:rPr>
            </w:pPr>
          </w:p>
        </w:tc>
        <w:tc>
          <w:tcPr>
            <w:tcW w:w="4520" w:type="dxa"/>
            <w:vAlign w:val="bottom"/>
            <w:gridSpan w:val="10"/>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1"/>
              </w:rPr>
            </w:pPr>
            <w:hyperlink w:anchor="page203">
              <w:r>
                <w:rPr>
                  <w:rFonts w:ascii="Arial" w:cs="Arial" w:eastAsia="Arial" w:hAnsi="Arial"/>
                  <w:sz w:val="18"/>
                  <w:szCs w:val="18"/>
                  <w:color w:val="0000EE"/>
                  <w:w w:val="81"/>
                </w:rPr>
                <w:t>F-3</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12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204">
              <w:r>
                <w:rPr>
                  <w:rFonts w:ascii="Arial" w:cs="Arial" w:eastAsia="Arial" w:hAnsi="Arial"/>
                  <w:sz w:val="18"/>
                  <w:szCs w:val="18"/>
                  <w:color w:val="0000EE"/>
                  <w:w w:val="87"/>
                </w:rPr>
                <w:t>Notes to Financial Statements</w:t>
              </w:r>
            </w:hyperlink>
          </w:p>
        </w:tc>
        <w:tc>
          <w:tcPr>
            <w:tcW w:w="6520" w:type="dxa"/>
            <w:vAlign w:val="bottom"/>
            <w:gridSpan w:val="14"/>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81"/>
              </w:rPr>
            </w:pPr>
            <w:hyperlink w:anchor="page204">
              <w:r>
                <w:rPr>
                  <w:rFonts w:ascii="Arial" w:cs="Arial" w:eastAsia="Arial" w:hAnsi="Arial"/>
                  <w:sz w:val="18"/>
                  <w:szCs w:val="18"/>
                  <w:color w:val="0000EE"/>
                  <w:w w:val="81"/>
                </w:rPr>
                <w:t>F-4</w:t>
              </w:r>
            </w:hyperlink>
          </w:p>
        </w:tc>
        <w:tc>
          <w:tcPr>
            <w:tcW w:w="1300" w:type="dxa"/>
            <w:vAlign w:val="bottom"/>
          </w:tcPr>
          <w:p>
            <w:pPr>
              <w:spacing w:after="0"/>
              <w:rPr>
                <w:sz w:val="17"/>
                <w:szCs w:val="17"/>
                <w:color w:val="auto"/>
              </w:rPr>
            </w:pPr>
          </w:p>
        </w:tc>
      </w:tr>
      <w:tr>
        <w:trPr>
          <w:trHeight w:val="451"/>
        </w:trPr>
        <w:tc>
          <w:tcPr>
            <w:tcW w:w="1140" w:type="dxa"/>
            <w:vAlign w:val="bottom"/>
          </w:tcPr>
          <w:p>
            <w:pPr>
              <w:spacing w:after="0"/>
              <w:rPr>
                <w:sz w:val="24"/>
                <w:szCs w:val="24"/>
                <w:color w:val="auto"/>
              </w:rPr>
            </w:pPr>
          </w:p>
        </w:tc>
        <w:tc>
          <w:tcPr>
            <w:tcW w:w="8640" w:type="dxa"/>
            <w:vAlign w:val="bottom"/>
            <w:gridSpan w:val="19"/>
          </w:tcPr>
          <w:p>
            <w:pPr>
              <w:spacing w:after="0"/>
              <w:rPr>
                <w:sz w:val="20"/>
                <w:szCs w:val="20"/>
                <w:color w:val="auto"/>
              </w:rPr>
            </w:pPr>
            <w:r>
              <w:rPr>
                <w:rFonts w:ascii="Arial" w:cs="Arial" w:eastAsia="Arial" w:hAnsi="Arial"/>
                <w:sz w:val="18"/>
                <w:szCs w:val="18"/>
                <w:b w:val="1"/>
                <w:bCs w:val="1"/>
                <w:color w:val="auto"/>
              </w:rPr>
              <w:t>Audited Consolidated Financial Statements of Aprea Therapeutics AB</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640" w:type="dxa"/>
            <w:vAlign w:val="bottom"/>
            <w:gridSpan w:val="19"/>
          </w:tcPr>
          <w:p>
            <w:pPr>
              <w:spacing w:after="0"/>
              <w:rPr>
                <w:rFonts w:ascii="Arial" w:cs="Arial" w:eastAsia="Arial" w:hAnsi="Arial"/>
                <w:sz w:val="18"/>
                <w:szCs w:val="18"/>
                <w:color w:val="0000EE"/>
              </w:rPr>
            </w:pPr>
            <w:hyperlink w:anchor="page205">
              <w:r>
                <w:rPr>
                  <w:rFonts w:ascii="Arial" w:cs="Arial" w:eastAsia="Arial" w:hAnsi="Arial"/>
                  <w:sz w:val="18"/>
                  <w:szCs w:val="18"/>
                  <w:color w:val="0000EE"/>
                </w:rPr>
                <w:t>Report of Independent Registered Public Accounting Firm</w:t>
              </w:r>
            </w:hyperlink>
          </w:p>
        </w:tc>
        <w:tc>
          <w:tcPr>
            <w:tcW w:w="100" w:type="dxa"/>
            <w:vAlign w:val="bottom"/>
          </w:tcPr>
          <w:p>
            <w:pPr>
              <w:spacing w:after="0"/>
              <w:rPr>
                <w:sz w:val="24"/>
                <w:szCs w:val="24"/>
                <w:color w:val="auto"/>
              </w:rPr>
            </w:pPr>
          </w:p>
        </w:tc>
        <w:tc>
          <w:tcPr>
            <w:tcW w:w="1540" w:type="dxa"/>
            <w:vAlign w:val="bottom"/>
            <w:gridSpan w:val="2"/>
          </w:tcPr>
          <w:p>
            <w:pPr>
              <w:jc w:val="right"/>
              <w:ind w:right="1300"/>
              <w:spacing w:after="0"/>
              <w:rPr>
                <w:rFonts w:ascii="Arial" w:cs="Arial" w:eastAsia="Arial" w:hAnsi="Arial"/>
                <w:sz w:val="18"/>
                <w:szCs w:val="18"/>
                <w:color w:val="0000EE"/>
                <w:w w:val="81"/>
              </w:rPr>
            </w:pPr>
            <w:hyperlink w:anchor="page205">
              <w:r>
                <w:rPr>
                  <w:rFonts w:ascii="Arial" w:cs="Arial" w:eastAsia="Arial" w:hAnsi="Arial"/>
                  <w:sz w:val="18"/>
                  <w:szCs w:val="18"/>
                  <w:color w:val="0000EE"/>
                  <w:w w:val="81"/>
                </w:rPr>
                <w:t>F-5</w:t>
              </w:r>
            </w:hyperlink>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19"/>
          </w:tcPr>
          <w:p>
            <w:pPr>
              <w:spacing w:after="0" w:line="196" w:lineRule="exact"/>
              <w:rPr>
                <w:rFonts w:ascii="Arial" w:cs="Arial" w:eastAsia="Arial" w:hAnsi="Arial"/>
                <w:sz w:val="18"/>
                <w:szCs w:val="18"/>
                <w:color w:val="0000EE"/>
              </w:rPr>
            </w:pPr>
            <w:hyperlink w:anchor="page206">
              <w:r>
                <w:rPr>
                  <w:rFonts w:ascii="Arial" w:cs="Arial" w:eastAsia="Arial" w:hAnsi="Arial"/>
                  <w:sz w:val="18"/>
                  <w:szCs w:val="18"/>
                  <w:color w:val="0000EE"/>
                </w:rPr>
                <w:t>Consolidated Balance Sheets as of December 31, 2017 and 2018</w:t>
              </w:r>
            </w:hyperlink>
          </w:p>
        </w:tc>
        <w:tc>
          <w:tcPr>
            <w:tcW w:w="100" w:type="dxa"/>
            <w:vAlign w:val="bottom"/>
          </w:tcPr>
          <w:p>
            <w:pPr>
              <w:spacing w:after="0"/>
              <w:rPr>
                <w:sz w:val="17"/>
                <w:szCs w:val="17"/>
                <w:color w:val="auto"/>
              </w:rPr>
            </w:pPr>
          </w:p>
        </w:tc>
        <w:tc>
          <w:tcPr>
            <w:tcW w:w="1540" w:type="dxa"/>
            <w:vAlign w:val="bottom"/>
            <w:gridSpan w:val="2"/>
          </w:tcPr>
          <w:p>
            <w:pPr>
              <w:jc w:val="right"/>
              <w:ind w:right="1300"/>
              <w:spacing w:after="0" w:line="196" w:lineRule="exact"/>
              <w:rPr>
                <w:rFonts w:ascii="Arial" w:cs="Arial" w:eastAsia="Arial" w:hAnsi="Arial"/>
                <w:sz w:val="18"/>
                <w:szCs w:val="18"/>
                <w:color w:val="0000EE"/>
                <w:w w:val="81"/>
              </w:rPr>
            </w:pPr>
            <w:hyperlink w:anchor="page206">
              <w:r>
                <w:rPr>
                  <w:rFonts w:ascii="Arial" w:cs="Arial" w:eastAsia="Arial" w:hAnsi="Arial"/>
                  <w:sz w:val="18"/>
                  <w:szCs w:val="18"/>
                  <w:color w:val="0000EE"/>
                  <w:w w:val="81"/>
                </w:rPr>
                <w:t>F-6</w:t>
              </w:r>
            </w:hyperlink>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080" w:type="dxa"/>
            <w:vAlign w:val="bottom"/>
            <w:tcBorders>
              <w:bottom w:val="single" w:sz="8" w:color="0000EE"/>
            </w:tcBorders>
            <w:gridSpan w:val="16"/>
          </w:tcPr>
          <w:p>
            <w:pPr>
              <w:spacing w:after="0" w:line="196" w:lineRule="exact"/>
              <w:rPr>
                <w:rFonts w:ascii="Arial" w:cs="Arial" w:eastAsia="Arial" w:hAnsi="Arial"/>
                <w:sz w:val="18"/>
                <w:szCs w:val="18"/>
                <w:color w:val="0000EE"/>
                <w:w w:val="86"/>
              </w:rPr>
            </w:pPr>
            <w:hyperlink w:anchor="page207">
              <w:r>
                <w:rPr>
                  <w:rFonts w:ascii="Arial" w:cs="Arial" w:eastAsia="Arial" w:hAnsi="Arial"/>
                  <w:sz w:val="18"/>
                  <w:szCs w:val="18"/>
                  <w:color w:val="0000EE"/>
                  <w:w w:val="86"/>
                </w:rPr>
                <w:t>Consolidated Statements of Operations and Comprehensive Loss for the years ended December 31, 2017 and 2018</w:t>
              </w:r>
            </w:hyperlink>
          </w:p>
        </w:tc>
        <w:tc>
          <w:tcPr>
            <w:tcW w:w="56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81"/>
              </w:rPr>
            </w:pPr>
            <w:hyperlink w:anchor="page207">
              <w:r>
                <w:rPr>
                  <w:rFonts w:ascii="Arial" w:cs="Arial" w:eastAsia="Arial" w:hAnsi="Arial"/>
                  <w:sz w:val="18"/>
                  <w:szCs w:val="18"/>
                  <w:color w:val="0000EE"/>
                  <w:w w:val="81"/>
                </w:rPr>
                <w:t>F-7</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640" w:type="dxa"/>
            <w:vAlign w:val="bottom"/>
            <w:gridSpan w:val="19"/>
          </w:tcPr>
          <w:p>
            <w:pPr>
              <w:spacing w:after="0" w:line="196" w:lineRule="exact"/>
              <w:rPr>
                <w:rFonts w:ascii="Arial" w:cs="Arial" w:eastAsia="Arial" w:hAnsi="Arial"/>
                <w:sz w:val="18"/>
                <w:szCs w:val="18"/>
                <w:color w:val="0000EE"/>
                <w:w w:val="92"/>
              </w:rPr>
            </w:pPr>
            <w:hyperlink w:anchor="page208">
              <w:r>
                <w:rPr>
                  <w:rFonts w:ascii="Arial" w:cs="Arial" w:eastAsia="Arial" w:hAnsi="Arial"/>
                  <w:sz w:val="18"/>
                  <w:szCs w:val="18"/>
                  <w:color w:val="0000EE"/>
                  <w:w w:val="92"/>
                </w:rPr>
                <w:t>Consolidated Statements of Convertible Preferred Stock and Stockholders' Deficit for the years ended December 31,</w:t>
              </w:r>
            </w:hyperlink>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w:anchor="page208">
              <w:r>
                <w:rPr>
                  <w:rFonts w:ascii="Arial" w:cs="Arial" w:eastAsia="Arial" w:hAnsi="Arial"/>
                  <w:sz w:val="18"/>
                  <w:szCs w:val="18"/>
                  <w:color w:val="0000EE"/>
                  <w:w w:val="86"/>
                </w:rPr>
                <w:t>2017 and 2018</w:t>
              </w:r>
            </w:hyperlink>
          </w:p>
        </w:tc>
        <w:tc>
          <w:tcPr>
            <w:tcW w:w="6940" w:type="dxa"/>
            <w:vAlign w:val="bottom"/>
            <w:tcBorders>
              <w:top w:val="single" w:sz="8" w:color="0000EE"/>
            </w:tcBorders>
            <w:gridSpan w:val="14"/>
          </w:tcPr>
          <w:p>
            <w:pPr>
              <w:spacing w:after="0"/>
              <w:rPr>
                <w:sz w:val="17"/>
                <w:szCs w:val="17"/>
                <w:color w:val="auto"/>
              </w:rPr>
            </w:pPr>
          </w:p>
        </w:tc>
        <w:tc>
          <w:tcPr>
            <w:tcW w:w="4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81"/>
              </w:rPr>
            </w:pPr>
            <w:hyperlink w:anchor="page208">
              <w:r>
                <w:rPr>
                  <w:rFonts w:ascii="Arial" w:cs="Arial" w:eastAsia="Arial" w:hAnsi="Arial"/>
                  <w:sz w:val="18"/>
                  <w:szCs w:val="18"/>
                  <w:color w:val="0000EE"/>
                  <w:w w:val="81"/>
                </w:rPr>
                <w:t>F-8</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640" w:type="dxa"/>
            <w:vAlign w:val="bottom"/>
            <w:gridSpan w:val="19"/>
          </w:tcPr>
          <w:p>
            <w:pPr>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Consolidated Statements of Cash Flows for the years ended December 31, 2017 and 2018</w:t>
              </w:r>
            </w:hyperlink>
          </w:p>
        </w:tc>
        <w:tc>
          <w:tcPr>
            <w:tcW w:w="100" w:type="dxa"/>
            <w:vAlign w:val="bottom"/>
          </w:tcPr>
          <w:p>
            <w:pPr>
              <w:spacing w:after="0"/>
              <w:rPr>
                <w:sz w:val="17"/>
                <w:szCs w:val="17"/>
                <w:color w:val="auto"/>
              </w:rPr>
            </w:pPr>
          </w:p>
        </w:tc>
        <w:tc>
          <w:tcPr>
            <w:tcW w:w="1540" w:type="dxa"/>
            <w:vAlign w:val="bottom"/>
            <w:gridSpan w:val="2"/>
          </w:tcPr>
          <w:p>
            <w:pPr>
              <w:jc w:val="right"/>
              <w:ind w:right="1300"/>
              <w:spacing w:after="0" w:line="196" w:lineRule="exact"/>
              <w:rPr>
                <w:rFonts w:ascii="Arial" w:cs="Arial" w:eastAsia="Arial" w:hAnsi="Arial"/>
                <w:sz w:val="18"/>
                <w:szCs w:val="18"/>
                <w:color w:val="0000EE"/>
                <w:w w:val="81"/>
              </w:rPr>
            </w:pPr>
            <w:hyperlink w:anchor="page209">
              <w:r>
                <w:rPr>
                  <w:rFonts w:ascii="Arial" w:cs="Arial" w:eastAsia="Arial" w:hAnsi="Arial"/>
                  <w:sz w:val="18"/>
                  <w:szCs w:val="18"/>
                  <w:color w:val="0000EE"/>
                  <w:w w:val="81"/>
                </w:rPr>
                <w:t>F-9</w:t>
              </w:r>
            </w:hyperlink>
          </w:p>
        </w:tc>
      </w:tr>
      <w:tr>
        <w:trPr>
          <w:trHeight w:val="20"/>
        </w:trPr>
        <w:tc>
          <w:tcPr>
            <w:tcW w:w="11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300" w:type="dxa"/>
            <w:vAlign w:val="bottom"/>
            <w:gridSpan w:val="12"/>
          </w:tcPr>
          <w:p>
            <w:pPr>
              <w:spacing w:after="0" w:line="196" w:lineRule="exact"/>
              <w:rPr>
                <w:rFonts w:ascii="Arial" w:cs="Arial" w:eastAsia="Arial" w:hAnsi="Arial"/>
                <w:sz w:val="18"/>
                <w:szCs w:val="18"/>
                <w:color w:val="0000EE"/>
              </w:rPr>
            </w:pPr>
            <w:hyperlink w:anchor="page210">
              <w:r>
                <w:rPr>
                  <w:rFonts w:ascii="Arial" w:cs="Arial" w:eastAsia="Arial" w:hAnsi="Arial"/>
                  <w:sz w:val="18"/>
                  <w:szCs w:val="18"/>
                  <w:color w:val="0000EE"/>
                </w:rPr>
                <w:t>Notes to Consolidated Financial Statements</w:t>
              </w:r>
            </w:hyperlink>
          </w:p>
        </w:tc>
        <w:tc>
          <w:tcPr>
            <w:tcW w:w="2340" w:type="dxa"/>
            <w:vAlign w:val="bottom"/>
            <w:gridSpan w:val="7"/>
          </w:tcPr>
          <w:p>
            <w:pPr>
              <w:spacing w:after="0"/>
              <w:rPr>
                <w:sz w:val="17"/>
                <w:szCs w:val="17"/>
                <w:color w:val="auto"/>
              </w:rPr>
            </w:pPr>
          </w:p>
        </w:tc>
        <w:tc>
          <w:tcPr>
            <w:tcW w:w="1640" w:type="dxa"/>
            <w:vAlign w:val="bottom"/>
            <w:gridSpan w:val="3"/>
          </w:tcPr>
          <w:p>
            <w:pPr>
              <w:jc w:val="right"/>
              <w:ind w:right="1300"/>
              <w:spacing w:after="0" w:line="196" w:lineRule="exact"/>
              <w:rPr>
                <w:rFonts w:ascii="Arial" w:cs="Arial" w:eastAsia="Arial" w:hAnsi="Arial"/>
                <w:sz w:val="18"/>
                <w:szCs w:val="18"/>
                <w:color w:val="0000EE"/>
                <w:w w:val="86"/>
              </w:rPr>
            </w:pPr>
            <w:hyperlink w:anchor="page210">
              <w:r>
                <w:rPr>
                  <w:rFonts w:ascii="Arial" w:cs="Arial" w:eastAsia="Arial" w:hAnsi="Arial"/>
                  <w:sz w:val="18"/>
                  <w:szCs w:val="18"/>
                  <w:color w:val="0000EE"/>
                  <w:w w:val="86"/>
                </w:rPr>
                <w:t>F-10</w:t>
              </w:r>
            </w:hyperlink>
          </w:p>
        </w:tc>
      </w:tr>
      <w:tr>
        <w:trPr>
          <w:trHeight w:val="20"/>
        </w:trPr>
        <w:tc>
          <w:tcPr>
            <w:tcW w:w="11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51"/>
        </w:trPr>
        <w:tc>
          <w:tcPr>
            <w:tcW w:w="1140" w:type="dxa"/>
            <w:vAlign w:val="bottom"/>
          </w:tcPr>
          <w:p>
            <w:pPr>
              <w:spacing w:after="0"/>
              <w:rPr>
                <w:sz w:val="24"/>
                <w:szCs w:val="24"/>
                <w:color w:val="auto"/>
              </w:rPr>
            </w:pPr>
          </w:p>
        </w:tc>
        <w:tc>
          <w:tcPr>
            <w:tcW w:w="8640" w:type="dxa"/>
            <w:vAlign w:val="bottom"/>
            <w:gridSpan w:val="19"/>
          </w:tcPr>
          <w:p>
            <w:pPr>
              <w:spacing w:after="0"/>
              <w:rPr>
                <w:sz w:val="20"/>
                <w:szCs w:val="20"/>
                <w:color w:val="auto"/>
              </w:rPr>
            </w:pPr>
            <w:r>
              <w:rPr>
                <w:rFonts w:ascii="Arial" w:cs="Arial" w:eastAsia="Arial" w:hAnsi="Arial"/>
                <w:sz w:val="18"/>
                <w:szCs w:val="18"/>
                <w:b w:val="1"/>
                <w:bCs w:val="1"/>
                <w:color w:val="auto"/>
              </w:rPr>
              <w:t>Condensed Consolidated Unaudited Interim Financial Statements of Aprea Therapeutics AB</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686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227">
              <w:r>
                <w:rPr>
                  <w:rFonts w:ascii="Arial" w:cs="Arial" w:eastAsia="Arial" w:hAnsi="Arial"/>
                  <w:sz w:val="18"/>
                  <w:szCs w:val="18"/>
                  <w:color w:val="0000EE"/>
                  <w:w w:val="86"/>
                </w:rPr>
                <w:t>Condensed Consolidated Balance Sheets as of December 31, 2018 and June 30, 2019 (unaudited)</w:t>
              </w:r>
            </w:hyperlink>
          </w:p>
        </w:tc>
        <w:tc>
          <w:tcPr>
            <w:tcW w:w="1780" w:type="dxa"/>
            <w:vAlign w:val="bottom"/>
            <w:gridSpan w:val="6"/>
          </w:tcPr>
          <w:p>
            <w:pPr>
              <w:spacing w:after="0"/>
              <w:rPr>
                <w:sz w:val="24"/>
                <w:szCs w:val="24"/>
                <w:color w:val="auto"/>
              </w:rPr>
            </w:pPr>
          </w:p>
        </w:tc>
        <w:tc>
          <w:tcPr>
            <w:tcW w:w="340" w:type="dxa"/>
            <w:vAlign w:val="bottom"/>
            <w:tcBorders>
              <w:bottom w:val="single" w:sz="8" w:color="0000EE"/>
            </w:tcBorders>
            <w:gridSpan w:val="2"/>
          </w:tcPr>
          <w:p>
            <w:pPr>
              <w:jc w:val="right"/>
              <w:spacing w:after="0"/>
              <w:rPr>
                <w:rFonts w:ascii="Arial" w:cs="Arial" w:eastAsia="Arial" w:hAnsi="Arial"/>
                <w:sz w:val="18"/>
                <w:szCs w:val="18"/>
                <w:color w:val="0000EE"/>
                <w:w w:val="86"/>
              </w:rPr>
            </w:pPr>
            <w:hyperlink w:anchor="page227">
              <w:r>
                <w:rPr>
                  <w:rFonts w:ascii="Arial" w:cs="Arial" w:eastAsia="Arial" w:hAnsi="Arial"/>
                  <w:sz w:val="18"/>
                  <w:szCs w:val="18"/>
                  <w:color w:val="0000EE"/>
                  <w:w w:val="86"/>
                </w:rPr>
                <w:t>F-27</w:t>
              </w:r>
            </w:hyperlink>
          </w:p>
        </w:tc>
        <w:tc>
          <w:tcPr>
            <w:tcW w:w="130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830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228">
              <w:r>
                <w:rPr>
                  <w:rFonts w:ascii="Arial" w:cs="Arial" w:eastAsia="Arial" w:hAnsi="Arial"/>
                  <w:sz w:val="18"/>
                  <w:szCs w:val="18"/>
                  <w:color w:val="0000EE"/>
                  <w:w w:val="87"/>
                </w:rPr>
                <w:t>Condensed Consolidated Statements of Operations and Comprehensive Loss for the six month periods ended June 30,</w:t>
              </w:r>
            </w:hyperlink>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gridSpan w:val="18"/>
          </w:tcPr>
          <w:p>
            <w:pPr>
              <w:spacing w:after="0" w:line="196" w:lineRule="exact"/>
              <w:rPr>
                <w:rFonts w:ascii="Arial" w:cs="Arial" w:eastAsia="Arial" w:hAnsi="Arial"/>
                <w:sz w:val="18"/>
                <w:szCs w:val="18"/>
                <w:color w:val="0000EE"/>
              </w:rPr>
            </w:pPr>
            <w:hyperlink w:anchor="page228">
              <w:r>
                <w:rPr>
                  <w:rFonts w:ascii="Arial" w:cs="Arial" w:eastAsia="Arial" w:hAnsi="Arial"/>
                  <w:sz w:val="18"/>
                  <w:szCs w:val="18"/>
                  <w:color w:val="0000EE"/>
                </w:rPr>
                <w:t>2018 and 2019 (unaudited)</w:t>
              </w:r>
            </w:hyperlink>
          </w:p>
        </w:tc>
        <w:tc>
          <w:tcPr>
            <w:tcW w:w="1640" w:type="dxa"/>
            <w:vAlign w:val="bottom"/>
            <w:gridSpan w:val="3"/>
          </w:tcPr>
          <w:p>
            <w:pPr>
              <w:jc w:val="right"/>
              <w:ind w:right="1300"/>
              <w:spacing w:after="0" w:line="196" w:lineRule="exact"/>
              <w:rPr>
                <w:rFonts w:ascii="Arial" w:cs="Arial" w:eastAsia="Arial" w:hAnsi="Arial"/>
                <w:sz w:val="18"/>
                <w:szCs w:val="18"/>
                <w:color w:val="0000EE"/>
                <w:w w:val="86"/>
              </w:rPr>
            </w:pPr>
            <w:hyperlink w:anchor="page228">
              <w:r>
                <w:rPr>
                  <w:rFonts w:ascii="Arial" w:cs="Arial" w:eastAsia="Arial" w:hAnsi="Arial"/>
                  <w:sz w:val="18"/>
                  <w:szCs w:val="18"/>
                  <w:color w:val="0000EE"/>
                  <w:w w:val="86"/>
                </w:rPr>
                <w:t>F-28</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19"/>
          </w:tcPr>
          <w:p>
            <w:pPr>
              <w:spacing w:after="0" w:line="196" w:lineRule="exact"/>
              <w:rPr>
                <w:rFonts w:ascii="Arial" w:cs="Arial" w:eastAsia="Arial" w:hAnsi="Arial"/>
                <w:sz w:val="18"/>
                <w:szCs w:val="18"/>
                <w:color w:val="0000EE"/>
                <w:w w:val="96"/>
              </w:rPr>
            </w:pPr>
            <w:hyperlink w:anchor="page229">
              <w:r>
                <w:rPr>
                  <w:rFonts w:ascii="Arial" w:cs="Arial" w:eastAsia="Arial" w:hAnsi="Arial"/>
                  <w:sz w:val="18"/>
                  <w:szCs w:val="18"/>
                  <w:color w:val="0000EE"/>
                  <w:w w:val="96"/>
                </w:rPr>
                <w:t>Condensed Consolidated Statements of Convertible Preferred Stock and Stockholders' Equity (Deficit) for the six</w:t>
              </w:r>
            </w:hyperlink>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w:anchor="page229">
              <w:r>
                <w:rPr>
                  <w:rFonts w:ascii="Arial" w:cs="Arial" w:eastAsia="Arial" w:hAnsi="Arial"/>
                  <w:sz w:val="18"/>
                  <w:szCs w:val="18"/>
                  <w:color w:val="0000EE"/>
                  <w:w w:val="87"/>
                </w:rPr>
                <w:t>month periods ended June 30, 2018 and 2019 (unaudited)</w:t>
              </w:r>
            </w:hyperlink>
          </w:p>
        </w:tc>
        <w:tc>
          <w:tcPr>
            <w:tcW w:w="3740" w:type="dxa"/>
            <w:vAlign w:val="bottom"/>
            <w:tcBorders>
              <w:top w:val="single" w:sz="8" w:color="0000EE"/>
            </w:tcBorders>
            <w:gridSpan w:val="5"/>
          </w:tcPr>
          <w:p>
            <w:pPr>
              <w:spacing w:after="0"/>
              <w:rPr>
                <w:sz w:val="17"/>
                <w:szCs w:val="17"/>
                <w:color w:val="auto"/>
              </w:rPr>
            </w:pPr>
          </w:p>
        </w:tc>
        <w:tc>
          <w:tcPr>
            <w:tcW w:w="660" w:type="dxa"/>
            <w:vAlign w:val="bottom"/>
            <w:gridSpan w:val="4"/>
          </w:tcPr>
          <w:p>
            <w:pPr>
              <w:spacing w:after="0"/>
              <w:rPr>
                <w:sz w:val="17"/>
                <w:szCs w:val="17"/>
                <w:color w:val="auto"/>
              </w:rPr>
            </w:pPr>
          </w:p>
        </w:tc>
        <w:tc>
          <w:tcPr>
            <w:tcW w:w="34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6"/>
              </w:rPr>
            </w:pPr>
            <w:hyperlink w:anchor="page229">
              <w:r>
                <w:rPr>
                  <w:rFonts w:ascii="Arial" w:cs="Arial" w:eastAsia="Arial" w:hAnsi="Arial"/>
                  <w:sz w:val="18"/>
                  <w:szCs w:val="18"/>
                  <w:color w:val="0000EE"/>
                  <w:w w:val="86"/>
                </w:rPr>
                <w:t>F-29</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640" w:type="dxa"/>
            <w:vAlign w:val="bottom"/>
            <w:gridSpan w:val="19"/>
          </w:tcPr>
          <w:p>
            <w:pPr>
              <w:spacing w:after="0" w:line="196" w:lineRule="exact"/>
              <w:rPr>
                <w:rFonts w:ascii="Arial" w:cs="Arial" w:eastAsia="Arial" w:hAnsi="Arial"/>
                <w:sz w:val="18"/>
                <w:szCs w:val="18"/>
                <w:color w:val="0000EE"/>
                <w:w w:val="98"/>
              </w:rPr>
            </w:pPr>
            <w:hyperlink w:anchor="page230">
              <w:r>
                <w:rPr>
                  <w:rFonts w:ascii="Arial" w:cs="Arial" w:eastAsia="Arial" w:hAnsi="Arial"/>
                  <w:sz w:val="18"/>
                  <w:szCs w:val="18"/>
                  <w:color w:val="0000EE"/>
                  <w:w w:val="98"/>
                </w:rPr>
                <w:t>Condensed Consolidated Statements of Cash Flows for the six month periods ended June 30, 2018 and 2019</w:t>
              </w:r>
            </w:hyperlink>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230">
              <w:r>
                <w:rPr>
                  <w:rFonts w:ascii="Arial" w:cs="Arial" w:eastAsia="Arial" w:hAnsi="Arial"/>
                  <w:sz w:val="18"/>
                  <w:szCs w:val="18"/>
                  <w:color w:val="0000EE"/>
                  <w:w w:val="87"/>
                </w:rPr>
                <w:t>(unaudited)</w:t>
              </w:r>
            </w:hyperlink>
          </w:p>
        </w:tc>
        <w:tc>
          <w:tcPr>
            <w:tcW w:w="6620" w:type="dxa"/>
            <w:vAlign w:val="bottom"/>
            <w:tcBorders>
              <w:top w:val="single" w:sz="8" w:color="0000EE"/>
            </w:tcBorders>
            <w:gridSpan w:val="12"/>
          </w:tcPr>
          <w:p>
            <w:pPr>
              <w:spacing w:after="0"/>
              <w:rPr>
                <w:sz w:val="17"/>
                <w:szCs w:val="17"/>
                <w:color w:val="auto"/>
              </w:rPr>
            </w:pPr>
          </w:p>
        </w:tc>
        <w:tc>
          <w:tcPr>
            <w:tcW w:w="1020" w:type="dxa"/>
            <w:vAlign w:val="bottom"/>
            <w:gridSpan w:val="5"/>
          </w:tcPr>
          <w:p>
            <w:pPr>
              <w:spacing w:after="0"/>
              <w:rPr>
                <w:sz w:val="17"/>
                <w:szCs w:val="17"/>
                <w:color w:val="auto"/>
              </w:rPr>
            </w:pPr>
          </w:p>
        </w:tc>
        <w:tc>
          <w:tcPr>
            <w:tcW w:w="34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6"/>
              </w:rPr>
            </w:pPr>
            <w:hyperlink w:anchor="page230">
              <w:r>
                <w:rPr>
                  <w:rFonts w:ascii="Arial" w:cs="Arial" w:eastAsia="Arial" w:hAnsi="Arial"/>
                  <w:sz w:val="18"/>
                  <w:szCs w:val="18"/>
                  <w:color w:val="0000EE"/>
                  <w:w w:val="86"/>
                </w:rPr>
                <w:t>F-30</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640" w:type="dxa"/>
            <w:vAlign w:val="bottom"/>
            <w:gridSpan w:val="19"/>
          </w:tcPr>
          <w:p>
            <w:pPr>
              <w:spacing w:after="0" w:line="196" w:lineRule="exact"/>
              <w:rPr>
                <w:rFonts w:ascii="Arial" w:cs="Arial" w:eastAsia="Arial" w:hAnsi="Arial"/>
                <w:sz w:val="18"/>
                <w:szCs w:val="18"/>
                <w:color w:val="0000EE"/>
              </w:rPr>
            </w:pPr>
            <w:hyperlink w:anchor="page231">
              <w:r>
                <w:rPr>
                  <w:rFonts w:ascii="Arial" w:cs="Arial" w:eastAsia="Arial" w:hAnsi="Arial"/>
                  <w:sz w:val="18"/>
                  <w:szCs w:val="18"/>
                  <w:color w:val="0000EE"/>
                </w:rPr>
                <w:t>Notes to Condensed Consolidated Financial Statements</w:t>
              </w:r>
            </w:hyperlink>
          </w:p>
        </w:tc>
        <w:tc>
          <w:tcPr>
            <w:tcW w:w="1640" w:type="dxa"/>
            <w:vAlign w:val="bottom"/>
            <w:gridSpan w:val="3"/>
          </w:tcPr>
          <w:p>
            <w:pPr>
              <w:jc w:val="right"/>
              <w:ind w:right="1300"/>
              <w:spacing w:after="0" w:line="196" w:lineRule="exact"/>
              <w:rPr>
                <w:rFonts w:ascii="Arial" w:cs="Arial" w:eastAsia="Arial" w:hAnsi="Arial"/>
                <w:sz w:val="18"/>
                <w:szCs w:val="18"/>
                <w:color w:val="0000EE"/>
                <w:w w:val="86"/>
              </w:rPr>
            </w:pPr>
            <w:hyperlink w:anchor="page231">
              <w:r>
                <w:rPr>
                  <w:rFonts w:ascii="Arial" w:cs="Arial" w:eastAsia="Arial" w:hAnsi="Arial"/>
                  <w:sz w:val="18"/>
                  <w:szCs w:val="18"/>
                  <w:color w:val="0000EE"/>
                  <w:w w:val="86"/>
                </w:rPr>
                <w:t>F-31</w:t>
              </w:r>
            </w:hyperlink>
          </w:p>
        </w:tc>
      </w:tr>
      <w:tr>
        <w:trPr>
          <w:trHeight w:val="451"/>
        </w:trPr>
        <w:tc>
          <w:tcPr>
            <w:tcW w:w="11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gridSpan w:val="9"/>
          </w:tcPr>
          <w:p>
            <w:pPr>
              <w:jc w:val="center"/>
              <w:ind w:right="3720"/>
              <w:spacing w:after="0"/>
              <w:rPr>
                <w:sz w:val="20"/>
                <w:szCs w:val="20"/>
                <w:color w:val="auto"/>
              </w:rPr>
            </w:pPr>
            <w:r>
              <w:rPr>
                <w:rFonts w:ascii="Arial" w:cs="Arial" w:eastAsia="Arial" w:hAnsi="Arial"/>
                <w:sz w:val="18"/>
                <w:szCs w:val="18"/>
                <w:color w:val="auto"/>
                <w:w w:val="88"/>
              </w:rPr>
              <w:t>F-1</w:t>
            </w: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1" w:name="page202"/>
    <w:bookmarkEnd w:id="201"/>
    <w:p>
      <w:pPr>
        <w:ind w:left="3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the Board of Directors of Aprea Therapeutics,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1" w:lineRule="exact"/>
        <w:rPr>
          <w:sz w:val="20"/>
          <w:szCs w:val="20"/>
          <w:color w:val="auto"/>
        </w:rPr>
      </w:pPr>
    </w:p>
    <w:p>
      <w:pPr>
        <w:ind w:right="460" w:firstLine="348"/>
        <w:spacing w:after="0" w:line="259" w:lineRule="auto"/>
        <w:rPr>
          <w:sz w:val="20"/>
          <w:szCs w:val="20"/>
          <w:color w:val="auto"/>
        </w:rPr>
      </w:pPr>
      <w:r>
        <w:rPr>
          <w:rFonts w:ascii="Arial" w:cs="Arial" w:eastAsia="Arial" w:hAnsi="Arial"/>
          <w:sz w:val="18"/>
          <w:szCs w:val="18"/>
          <w:color w:val="auto"/>
        </w:rPr>
        <w:t>We have audited the accompanying balance sheet of Aprea Therapeutics, Inc. (the Company) at July 11, 2019 and the related notes. In our opinion, the balance sheet presents fairly, in all material respects, the financial position of the Company at July 11, 2019, in conformity with U.S. generally accepted accounting principles.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1"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balance sheet is the responsibility of the Company's management. Our responsibility is to express an opinion on the Company's balance sheet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ind w:right="280" w:firstLine="348"/>
        <w:spacing w:after="0" w:line="255"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balance sheet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audit included performing procedures to assess the risks of material misstatement of the balance sheet, whether due to error or fraud, and performing procedures that respond to those risks. Such procedures included examining, on a test basis, evidence regarding the amounts and disclosures in the balance sheet. Our audit also included evaluating the accounting principles used and significant estimates made by management, as well as evaluating the overall presentation of the balance sheet. We believe that our audit provides a reasonable basis for our opinion.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AB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Stockholm, Sweden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August 20,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Except for the stock split described in Note 1, as to which the date is September 27, 2019.</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340" w:type="dxa"/>
            <w:vAlign w:val="bottom"/>
          </w:tcPr>
          <w:p>
            <w:pPr>
              <w:jc w:val="center"/>
              <w:ind w:left="632"/>
              <w:spacing w:after="0"/>
              <w:rPr>
                <w:sz w:val="20"/>
                <w:szCs w:val="20"/>
                <w:color w:val="auto"/>
              </w:rPr>
            </w:pPr>
            <w:r>
              <w:rPr>
                <w:rFonts w:ascii="Arial" w:cs="Arial" w:eastAsia="Arial" w:hAnsi="Arial"/>
                <w:sz w:val="18"/>
                <w:szCs w:val="18"/>
                <w:b w:val="1"/>
                <w:bCs w:val="1"/>
                <w:color w:val="auto"/>
                <w:w w:val="88"/>
              </w:rPr>
              <w:t>Aprea Therapeutics, Inc.</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340" w:type="dxa"/>
            <w:vAlign w:val="bottom"/>
          </w:tcPr>
          <w:p>
            <w:pPr>
              <w:jc w:val="center"/>
              <w:ind w:left="632"/>
              <w:spacing w:after="0"/>
              <w:rPr>
                <w:sz w:val="20"/>
                <w:szCs w:val="20"/>
                <w:color w:val="auto"/>
              </w:rPr>
            </w:pPr>
            <w:r>
              <w:rPr>
                <w:rFonts w:ascii="Arial" w:cs="Arial" w:eastAsia="Arial" w:hAnsi="Arial"/>
                <w:sz w:val="18"/>
                <w:szCs w:val="18"/>
                <w:b w:val="1"/>
                <w:bCs w:val="1"/>
                <w:color w:val="auto"/>
                <w:w w:val="86"/>
              </w:rPr>
              <w:t>Balance Sheet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340" w:type="dxa"/>
            <w:vAlign w:val="bottom"/>
          </w:tcPr>
          <w:p>
            <w:pPr>
              <w:jc w:val="center"/>
              <w:ind w:left="632"/>
              <w:spacing w:after="0"/>
              <w:rPr>
                <w:sz w:val="20"/>
                <w:szCs w:val="20"/>
                <w:color w:val="auto"/>
              </w:rPr>
            </w:pPr>
            <w:r>
              <w:rPr>
                <w:rFonts w:ascii="Arial" w:cs="Arial" w:eastAsia="Arial" w:hAnsi="Arial"/>
                <w:sz w:val="18"/>
                <w:szCs w:val="18"/>
                <w:b w:val="1"/>
                <w:bCs w:val="1"/>
                <w:color w:val="auto"/>
                <w:w w:val="88"/>
              </w:rPr>
              <w:t>As of July 11, 2019 (date of initial capital contribution)</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July 11,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3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8360" w:type="dxa"/>
            <w:vAlign w:val="bottom"/>
            <w:gridSpan w:val="2"/>
          </w:tcPr>
          <w:p>
            <w:pPr>
              <w:spacing w:after="0"/>
              <w:rPr>
                <w:sz w:val="20"/>
                <w:szCs w:val="20"/>
                <w:color w:val="auto"/>
              </w:rPr>
            </w:pPr>
            <w:r>
              <w:rPr>
                <w:rFonts w:ascii="Arial" w:cs="Arial" w:eastAsia="Arial" w:hAnsi="Arial"/>
                <w:sz w:val="18"/>
                <w:szCs w:val="18"/>
                <w:color w:val="auto"/>
              </w:rPr>
              <w:t>Stockholders' deficit:</w:t>
            </w: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$0.001 par value; 160 shares authorized, issued and outstanding.</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42" w:right="1379" w:bottom="1440" w:gutter="0" w:footer="0" w:header="0"/>
        </w:sectPr>
      </w:pPr>
    </w:p>
    <w:bookmarkStart w:id="203" w:name="page204"/>
    <w:bookmarkEnd w:id="203"/>
    <w:p>
      <w:pPr>
        <w:jc w:val="center"/>
        <w:ind w:right="-39"/>
        <w:spacing w:after="0"/>
        <w:rPr>
          <w:sz w:val="20"/>
          <w:szCs w:val="20"/>
          <w:color w:val="auto"/>
        </w:rPr>
      </w:pPr>
      <w:r>
        <w:rPr>
          <w:rFonts w:ascii="Arial" w:cs="Arial" w:eastAsia="Arial" w:hAnsi="Arial"/>
          <w:sz w:val="18"/>
          <w:szCs w:val="18"/>
          <w:b w:val="1"/>
          <w:bCs w:val="1"/>
          <w:color w:val="auto"/>
        </w:rPr>
        <w:t>Aprea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of July 11, 2019 (date of initial capital contribution)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basis of presentation</w:t>
      </w:r>
    </w:p>
    <w:p>
      <w:pPr>
        <w:spacing w:after="0" w:line="225" w:lineRule="exact"/>
        <w:rPr>
          <w:sz w:val="20"/>
          <w:szCs w:val="20"/>
          <w:color w:val="auto"/>
        </w:rPr>
      </w:pPr>
    </w:p>
    <w:p>
      <w:pPr>
        <w:ind w:right="240" w:firstLine="351"/>
        <w:spacing w:after="0" w:line="275" w:lineRule="auto"/>
        <w:rPr>
          <w:sz w:val="20"/>
          <w:szCs w:val="20"/>
          <w:color w:val="auto"/>
        </w:rPr>
      </w:pPr>
      <w:r>
        <w:rPr>
          <w:rFonts w:ascii="Arial" w:cs="Arial" w:eastAsia="Arial" w:hAnsi="Arial"/>
          <w:sz w:val="18"/>
          <w:szCs w:val="18"/>
          <w:b w:val="1"/>
          <w:bCs w:val="1"/>
          <w:color w:val="auto"/>
        </w:rPr>
        <w:t>Nature of business</w:t>
      </w:r>
      <w:r>
        <w:rPr>
          <w:rFonts w:ascii="Arial" w:cs="Arial" w:eastAsia="Arial" w:hAnsi="Arial"/>
          <w:sz w:val="18"/>
          <w:szCs w:val="18"/>
          <w:color w:val="auto"/>
        </w:rPr>
        <w:t>—Aprea Therapeutics, Inc. ("ATI" or the "Company") was incorporated in Delaware on May 3, 2019 and the date of its initial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 was July 11, 2019.</w:t>
      </w:r>
    </w:p>
    <w:p>
      <w:pPr>
        <w:spacing w:after="0" w:line="180"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authorized share capital of ATI consists of 160 shares of capital stock, par value $0.001 per share, which has been issued. ATI was incorporated with nominal assets and liabilities for the purpose of becoming a holding company for Aprea Therapeutics AB and Aprea (U.S.) Inc. and for the purposes of consummating a corporate reorganization.</w:t>
      </w:r>
    </w:p>
    <w:p>
      <w:pPr>
        <w:spacing w:after="0" w:line="194"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On September 20, 2019, the Company consummated a corporate reorganization, pursuant to which all of the issued and outstanding stock and options of Aprea Therapeutics AB, or Aprea AB, were exchanged for common stock, preferred stock or options, as applicable, of Aprea Therapeutics, Inc. As a result, Aprea Therapeutics AB, became a wholly-owned subsidiary of Aprea Therapeutics, Inc.</w:t>
      </w:r>
    </w:p>
    <w:p>
      <w:pPr>
        <w:spacing w:after="0" w:line="188" w:lineRule="exact"/>
        <w:rPr>
          <w:sz w:val="20"/>
          <w:szCs w:val="20"/>
          <w:color w:val="auto"/>
        </w:rPr>
      </w:pPr>
    </w:p>
    <w:p>
      <w:pPr>
        <w:ind w:right="160" w:firstLine="351"/>
        <w:spacing w:after="0" w:line="262" w:lineRule="auto"/>
        <w:rPr>
          <w:sz w:val="20"/>
          <w:szCs w:val="20"/>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—The accompanying financial statements are prepared in conformity with accounting principles generally accepted in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("U.S. GAAP"). Separate statements of income, changes in equity and cash flows have not been presented in the financial statements because there have been no operations in the Company at the balance sheet date.</w:t>
      </w:r>
    </w:p>
    <w:p>
      <w:pPr>
        <w:spacing w:after="0" w:line="192"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Prior to the completion of its initial public offering, the Company will approve a 1-for-1.6045 stock split of the Company's common stock. All share and per share amounts in the balance sheet and notes thereto have been retroactively adjusted for all periods presented to give effect to this split.</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204" w:name="page205"/>
    <w:bookmarkEnd w:id="204"/>
    <w:p>
      <w:pPr>
        <w:ind w:left="3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Aprea Therapeutics AB</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1"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We have audited the accompanying consolidated balance sheets of Aprea Therapeutics AB (the Company) as of December 31, 2017 and 2018, the related consolidated statements of operations and comprehensive income (loss), convertible preferred stock and stockholders' deficit and cash flows for each of the two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2017 and 2018, and the results of its operations and its cash flows for each of the two years in the period ended December 31, 2018, in conformity with U.S. generally accepted accounting principles.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7"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AB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Stockholm, Sweden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August 20,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Except for the stock split described in Note 1, as to which the date is September 27, 2019.</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05" w:name="page206"/>
    <w:bookmarkEnd w:id="205"/>
    <w:p>
      <w:pPr>
        <w:jc w:val="center"/>
        <w:ind w:right="40"/>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738"/>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24,401,488</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65,675,931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329,859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322,146</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24,731,347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65,998,077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30,336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24,450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4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24,761,804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66,022,638</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1,661,813</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1,739,337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2,639,200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3,128,772</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4,301,013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4,868,109</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4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4,301,013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4,868,109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Series A convertible preferred stock, $0.11 par value; 612,446 shares issued and outstanding</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2"/>
              </w:rPr>
              <w:t>at December 31, 2018 and 2017 (liquidation preference of $6,483,044 at December 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6,483,044</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6,483,044</w:t>
            </w:r>
          </w:p>
        </w:tc>
        <w:tc>
          <w:tcPr>
            <w:tcW w:w="16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w w:val="99"/>
              </w:rPr>
              <w:t>Series B convertible preferred stock, $0.11 par value; 7,235,969 shares issued and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320"/>
              <w:spacing w:after="0"/>
              <w:rPr>
                <w:sz w:val="20"/>
                <w:szCs w:val="20"/>
                <w:color w:val="auto"/>
              </w:rPr>
            </w:pPr>
            <w:r>
              <w:rPr>
                <w:rFonts w:ascii="Arial" w:cs="Arial" w:eastAsia="Arial" w:hAnsi="Arial"/>
                <w:sz w:val="18"/>
                <w:szCs w:val="18"/>
                <w:color w:val="auto"/>
                <w:w w:val="93"/>
              </w:rPr>
              <w:t>outstanding at December 31, 2018 and 2017 (liquidation preference of $58,874,347 at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40" w:type="dxa"/>
            <w:vAlign w:val="bottom"/>
          </w:tcPr>
          <w:p>
            <w:pPr>
              <w:ind w:left="320"/>
              <w:spacing w:after="0"/>
              <w:rPr>
                <w:sz w:val="20"/>
                <w:szCs w:val="20"/>
                <w:color w:val="auto"/>
              </w:rPr>
            </w:pPr>
            <w:r>
              <w:rPr>
                <w:rFonts w:ascii="Arial" w:cs="Arial" w:eastAsia="Arial" w:hAnsi="Arial"/>
                <w:sz w:val="18"/>
                <w:szCs w:val="18"/>
                <w:color w:val="auto"/>
              </w:rPr>
              <w:t>December 31, 2018)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49,742,942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49,742,942</w:t>
            </w:r>
          </w:p>
        </w:tc>
        <w:tc>
          <w:tcPr>
            <w:tcW w:w="16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Series C convertible preferred stock, $0.11 par value; 4,712,698 and 0 shares issued and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6"/>
              </w:rPr>
              <w:t>outstanding at December 31, 2018 and 2017, respectively (liquidation preference of</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$57,115,312 at December 31, 2018)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56,364,645</w:t>
            </w:r>
          </w:p>
        </w:tc>
        <w:tc>
          <w:tcPr>
            <w:tcW w:w="16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Total convertible preferred stock</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56,225,986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112,590,631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w w:val="89"/>
              </w:rPr>
              <w:t>Common stock, $0.11 par value; 1,155,366 and 1,153,061 shares issued and outstanding at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40" w:type="dxa"/>
            <w:vAlign w:val="bottom"/>
          </w:tcPr>
          <w:p>
            <w:pPr>
              <w:ind w:left="320"/>
              <w:spacing w:after="0"/>
              <w:rPr>
                <w:sz w:val="20"/>
                <w:szCs w:val="20"/>
                <w:color w:val="auto"/>
              </w:rPr>
            </w:pPr>
            <w:r>
              <w:rPr>
                <w:rFonts w:ascii="Arial" w:cs="Arial" w:eastAsia="Arial" w:hAnsi="Arial"/>
                <w:sz w:val="18"/>
                <w:szCs w:val="18"/>
                <w:color w:val="auto"/>
              </w:rPr>
              <w:t>December 31, 2018 and 2017, respectively.</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126,838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127,091</w:t>
            </w:r>
          </w:p>
        </w:tc>
        <w:tc>
          <w:tcPr>
            <w:tcW w:w="1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19,335,560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19,666,588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7"/>
              </w:rPr>
              <w:t>(8,287,406)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
              <w:spacing w:after="0"/>
              <w:rPr>
                <w:sz w:val="20"/>
                <w:szCs w:val="20"/>
                <w:color w:val="auto"/>
              </w:rPr>
            </w:pPr>
            <w:r>
              <w:rPr>
                <w:rFonts w:ascii="Arial" w:cs="Arial" w:eastAsia="Arial" w:hAnsi="Arial"/>
                <w:sz w:val="18"/>
                <w:szCs w:val="18"/>
                <w:color w:val="auto"/>
                <w:w w:val="99"/>
              </w:rPr>
              <w:t>(8,761,325)</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(46,940,187)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0"/>
              </w:rPr>
              <w:t>(62,468,456)</w:t>
            </w:r>
          </w:p>
        </w:tc>
      </w:tr>
      <w:tr>
        <w:trPr>
          <w:trHeight w:val="210"/>
        </w:trPr>
        <w:tc>
          <w:tcPr>
            <w:tcW w:w="20" w:type="dxa"/>
            <w:vAlign w:val="bottom"/>
          </w:tcPr>
          <w:p>
            <w:pPr>
              <w:spacing w:after="0"/>
              <w:rPr>
                <w:sz w:val="18"/>
                <w:szCs w:val="18"/>
                <w:color w:val="auto"/>
              </w:rPr>
            </w:pPr>
          </w:p>
        </w:tc>
        <w:tc>
          <w:tcPr>
            <w:tcW w:w="6740" w:type="dxa"/>
            <w:vAlign w:val="bottom"/>
          </w:tcPr>
          <w:p>
            <w:pPr>
              <w:ind w:left="320"/>
              <w:spacing w:after="0"/>
              <w:rPr>
                <w:sz w:val="20"/>
                <w:szCs w:val="20"/>
                <w:color w:val="auto"/>
              </w:rPr>
            </w:pPr>
            <w:r>
              <w:rPr>
                <w:rFonts w:ascii="Arial" w:cs="Arial" w:eastAsia="Arial" w:hAnsi="Arial"/>
                <w:sz w:val="18"/>
                <w:szCs w:val="18"/>
                <w:color w:val="auto"/>
              </w:rPr>
              <w:t>Total stockholders' deficit</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(35,765,195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(51,436,102</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24,761,804</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66,022,638</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41" w:right="137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6"/>
          </w:tcPr>
          <w:p>
            <w:pPr>
              <w:jc w:val="right"/>
              <w:ind w:right="478"/>
              <w:spacing w:after="0"/>
              <w:rPr>
                <w:sz w:val="20"/>
                <w:szCs w:val="20"/>
                <w:color w:val="auto"/>
              </w:rPr>
            </w:pPr>
            <w:r>
              <w:rPr>
                <w:rFonts w:ascii="Arial" w:cs="Arial" w:eastAsia="Arial" w:hAnsi="Arial"/>
                <w:sz w:val="14"/>
                <w:szCs w:val="14"/>
                <w:b w:val="1"/>
                <w:bCs w:val="1"/>
                <w:color w:val="auto"/>
                <w:w w:val="96"/>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4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13,392,631</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14,194,732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2,459,744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2,294,671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15,852,375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16,489,403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gain</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662,140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961,316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color w:val="auto"/>
              </w:rPr>
              <w:t>Total other income (expense)</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662,125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961,134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2"/>
              </w:rPr>
              <w:t>(15,190,250)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4"/>
              </w:rPr>
              <w:t>(15,528,269)</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w:t>
            </w:r>
          </w:p>
        </w:tc>
        <w:tc>
          <w:tcPr>
            <w:tcW w:w="4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495,160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(473,919)</w:t>
            </w:r>
          </w:p>
        </w:tc>
        <w:tc>
          <w:tcPr>
            <w:tcW w:w="0" w:type="dxa"/>
            <w:vAlign w:val="bottom"/>
          </w:tcPr>
          <w:p>
            <w:pPr>
              <w:spacing w:after="0"/>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(14,695,090</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(16,002,188</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440" w:type="dxa"/>
            <w:vAlign w:val="bottom"/>
            <w:gridSpan w:val="2"/>
            <w:shd w:val="clear" w:color="auto" w:fill="CCEEFF"/>
          </w:tcPr>
          <w:p>
            <w:pPr>
              <w:jc w:val="right"/>
              <w:ind w:right="3"/>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
              <w:spacing w:after="0" w:line="196" w:lineRule="exact"/>
              <w:rPr>
                <w:sz w:val="20"/>
                <w:szCs w:val="20"/>
                <w:color w:val="auto"/>
              </w:rPr>
            </w:pPr>
            <w:r>
              <w:rPr>
                <w:rFonts w:ascii="Arial" w:cs="Arial" w:eastAsia="Arial" w:hAnsi="Arial"/>
                <w:sz w:val="18"/>
                <w:szCs w:val="18"/>
                <w:color w:val="auto"/>
              </w:rPr>
              <w:t>(13.17)</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
              <w:spacing w:after="0" w:line="196" w:lineRule="exact"/>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1,153,069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1,154,368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6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5"/>
              </w:rPr>
              <w:t>Pro forma net loss per share attributable to common stockholders, basic and diluted</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(unaudited)</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w w:val="91"/>
              </w:rPr>
              <w:t>Pro forma weighted average common shares outstanding, basic and diluted (unaudited)</w:t>
            </w: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9,428,873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41" w:right="1379" w:bottom="1440" w:gutter="0" w:footer="0" w:header="0"/>
        </w:sectPr>
      </w:pPr>
    </w:p>
    <w:bookmarkStart w:id="207" w:name="page208"/>
    <w:bookmarkEnd w:id="207"/>
    <w:p>
      <w:pPr>
        <w:jc w:val="center"/>
        <w:ind w:right="180"/>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right"/>
              <w:ind w:right="332"/>
              <w:spacing w:after="0"/>
              <w:rPr>
                <w:sz w:val="20"/>
                <w:szCs w:val="20"/>
                <w:color w:val="auto"/>
              </w:rPr>
            </w:pPr>
            <w:r>
              <w:rPr>
                <w:rFonts w:ascii="Arial" w:cs="Arial" w:eastAsia="Arial" w:hAnsi="Arial"/>
                <w:sz w:val="14"/>
                <w:szCs w:val="14"/>
                <w:b w:val="1"/>
                <w:bCs w:val="1"/>
                <w:color w:val="auto"/>
              </w:rPr>
              <w:t>Convertible preferred stock</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86"/>
              </w:rPr>
              <w:t>Accumulated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gridSpan w:val="3"/>
            <w:vMerge w:val="restart"/>
          </w:tcPr>
          <w:p>
            <w:pPr>
              <w:jc w:val="right"/>
              <w:ind w:right="272"/>
              <w:spacing w:after="0"/>
              <w:rPr>
                <w:sz w:val="20"/>
                <w:szCs w:val="20"/>
                <w:color w:val="auto"/>
              </w:rPr>
            </w:pPr>
            <w:r>
              <w:rPr>
                <w:rFonts w:ascii="Arial" w:cs="Arial" w:eastAsia="Arial" w:hAnsi="Arial"/>
                <w:sz w:val="14"/>
                <w:szCs w:val="14"/>
                <w:b w:val="1"/>
                <w:bCs w:val="1"/>
                <w:color w:val="auto"/>
              </w:rPr>
              <w:t>Series A</w:t>
            </w:r>
          </w:p>
        </w:tc>
        <w:tc>
          <w:tcPr>
            <w:tcW w:w="40" w:type="dxa"/>
            <w:vAlign w:val="bottom"/>
          </w:tcPr>
          <w:p>
            <w:pPr>
              <w:spacing w:after="0"/>
              <w:rPr>
                <w:sz w:val="12"/>
                <w:szCs w:val="12"/>
                <w:color w:val="auto"/>
              </w:rPr>
            </w:pPr>
          </w:p>
        </w:tc>
        <w:tc>
          <w:tcPr>
            <w:tcW w:w="1300" w:type="dxa"/>
            <w:vAlign w:val="bottom"/>
            <w:gridSpan w:val="3"/>
            <w:vMerge w:val="restart"/>
          </w:tcPr>
          <w:p>
            <w:pPr>
              <w:jc w:val="right"/>
              <w:ind w:right="352"/>
              <w:spacing w:after="0"/>
              <w:rPr>
                <w:sz w:val="20"/>
                <w:szCs w:val="20"/>
                <w:color w:val="auto"/>
              </w:rPr>
            </w:pPr>
            <w:r>
              <w:rPr>
                <w:rFonts w:ascii="Arial" w:cs="Arial" w:eastAsia="Arial" w:hAnsi="Arial"/>
                <w:sz w:val="14"/>
                <w:szCs w:val="14"/>
                <w:b w:val="1"/>
                <w:bCs w:val="1"/>
                <w:color w:val="auto"/>
              </w:rPr>
              <w:t>Series B</w:t>
            </w:r>
          </w:p>
        </w:tc>
        <w:tc>
          <w:tcPr>
            <w:tcW w:w="40" w:type="dxa"/>
            <w:vAlign w:val="bottom"/>
          </w:tcPr>
          <w:p>
            <w:pPr>
              <w:spacing w:after="0"/>
              <w:rPr>
                <w:sz w:val="12"/>
                <w:szCs w:val="12"/>
                <w:color w:val="auto"/>
              </w:rPr>
            </w:pPr>
          </w:p>
        </w:tc>
        <w:tc>
          <w:tcPr>
            <w:tcW w:w="1300" w:type="dxa"/>
            <w:vAlign w:val="bottom"/>
            <w:gridSpan w:val="4"/>
            <w:vMerge w:val="restart"/>
          </w:tcPr>
          <w:p>
            <w:pPr>
              <w:jc w:val="right"/>
              <w:ind w:right="352"/>
              <w:spacing w:after="0"/>
              <w:rPr>
                <w:sz w:val="20"/>
                <w:szCs w:val="20"/>
                <w:color w:val="auto"/>
              </w:rPr>
            </w:pPr>
            <w:r>
              <w:rPr>
                <w:rFonts w:ascii="Arial" w:cs="Arial" w:eastAsia="Arial" w:hAnsi="Arial"/>
                <w:sz w:val="14"/>
                <w:szCs w:val="14"/>
                <w:b w:val="1"/>
                <w:bCs w:val="1"/>
                <w:color w:val="auto"/>
              </w:rPr>
              <w:t>Series C</w:t>
            </w:r>
          </w:p>
        </w:tc>
        <w:tc>
          <w:tcPr>
            <w:tcW w:w="40" w:type="dxa"/>
            <w:vAlign w:val="bottom"/>
          </w:tcPr>
          <w:p>
            <w:pPr>
              <w:spacing w:after="0"/>
              <w:rPr>
                <w:sz w:val="12"/>
                <w:szCs w:val="12"/>
                <w:color w:val="auto"/>
              </w:rPr>
            </w:pPr>
          </w:p>
        </w:tc>
        <w:tc>
          <w:tcPr>
            <w:tcW w:w="1140" w:type="dxa"/>
            <w:vAlign w:val="bottom"/>
            <w:gridSpan w:val="3"/>
            <w:vMerge w:val="restart"/>
          </w:tcPr>
          <w:p>
            <w:pPr>
              <w:jc w:val="right"/>
              <w:ind w:right="72"/>
              <w:spacing w:after="0"/>
              <w:rPr>
                <w:sz w:val="20"/>
                <w:szCs w:val="20"/>
                <w:color w:val="auto"/>
              </w:rPr>
            </w:pPr>
            <w:r>
              <w:rPr>
                <w:rFonts w:ascii="Arial" w:cs="Arial" w:eastAsia="Arial" w:hAnsi="Arial"/>
                <w:sz w:val="14"/>
                <w:szCs w:val="14"/>
                <w:b w:val="1"/>
                <w:bCs w:val="1"/>
                <w:color w:val="auto"/>
                <w:w w:val="96"/>
              </w:rPr>
              <w:t>Common stock</w:t>
            </w:r>
          </w:p>
        </w:tc>
        <w:tc>
          <w:tcPr>
            <w:tcW w:w="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Additional</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other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40" w:type="dxa"/>
            <w:vAlign w:val="bottom"/>
            <w:tcBorders>
              <w:bottom w:val="single" w:sz="8" w:color="auto"/>
            </w:tcBorders>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300" w:type="dxa"/>
            <w:vAlign w:val="bottom"/>
            <w:tcBorders>
              <w:bottom w:val="single" w:sz="8" w:color="auto"/>
            </w:tcBorders>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300" w:type="dxa"/>
            <w:vAlign w:val="bottom"/>
            <w:tcBorders>
              <w:bottom w:val="single" w:sz="8" w:color="auto"/>
            </w:tcBorders>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tcBorders>
              <w:bottom w:val="single" w:sz="8" w:color="auto"/>
            </w:tcBorders>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paid-in</w:t>
            </w:r>
          </w:p>
        </w:tc>
        <w:tc>
          <w:tcPr>
            <w:tcW w:w="40" w:type="dxa"/>
            <w:vAlign w:val="bottom"/>
          </w:tcPr>
          <w:p>
            <w:pPr>
              <w:spacing w:after="0"/>
              <w:rPr>
                <w:sz w:val="5"/>
                <w:szCs w:val="5"/>
                <w:color w:val="auto"/>
              </w:rPr>
            </w:pPr>
          </w:p>
        </w:tc>
        <w:tc>
          <w:tcPr>
            <w:tcW w:w="9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87"/>
              </w:rPr>
              <w:t>comprehensive</w:t>
            </w:r>
          </w:p>
        </w:tc>
        <w:tc>
          <w:tcPr>
            <w:tcW w:w="20" w:type="dxa"/>
            <w:vAlign w:val="bottom"/>
          </w:tcPr>
          <w:p>
            <w:pPr>
              <w:spacing w:after="0"/>
              <w:rPr>
                <w:sz w:val="5"/>
                <w:szCs w:val="5"/>
                <w:color w:val="auto"/>
              </w:rPr>
            </w:pPr>
          </w:p>
        </w:tc>
        <w:tc>
          <w:tcPr>
            <w:tcW w:w="840" w:type="dxa"/>
            <w:vAlign w:val="bottom"/>
            <w:gridSpan w:val="3"/>
            <w:vMerge w:val="restart"/>
          </w:tcPr>
          <w:p>
            <w:pPr>
              <w:jc w:val="right"/>
              <w:ind w:right="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20" w:type="dxa"/>
            <w:vAlign w:val="bottom"/>
          </w:tcPr>
          <w:p>
            <w:pPr>
              <w:spacing w:after="0"/>
              <w:rPr>
                <w:sz w:val="5"/>
                <w:szCs w:val="5"/>
                <w:color w:val="auto"/>
              </w:rPr>
            </w:pPr>
          </w:p>
        </w:tc>
        <w:tc>
          <w:tcPr>
            <w:tcW w:w="84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stockholders'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9"/>
              </w:rPr>
              <w:t>Shares</w:t>
            </w:r>
          </w:p>
        </w:tc>
        <w:tc>
          <w:tcPr>
            <w:tcW w:w="40" w:type="dxa"/>
            <w:vAlign w:val="bottom"/>
          </w:tcPr>
          <w:p>
            <w:pPr>
              <w:spacing w:after="0"/>
              <w:rPr>
                <w:sz w:val="14"/>
                <w:szCs w:val="14"/>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4"/>
                <w:szCs w:val="14"/>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w w:val="98"/>
              </w:rPr>
              <w:t>Shares</w:t>
            </w:r>
          </w:p>
        </w:tc>
        <w:tc>
          <w:tcPr>
            <w:tcW w:w="40" w:type="dxa"/>
            <w:vAlign w:val="bottom"/>
          </w:tcPr>
          <w:p>
            <w:pPr>
              <w:spacing w:after="0"/>
              <w:rPr>
                <w:sz w:val="14"/>
                <w:szCs w:val="14"/>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4"/>
                <w:szCs w:val="14"/>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w w:val="98"/>
              </w:rPr>
              <w:t>Shares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b w:val="1"/>
                <w:bCs w:val="1"/>
                <w:color w:val="auto"/>
                <w:w w:val="90"/>
              </w:rPr>
              <w:t>Amount</w:t>
            </w:r>
          </w:p>
        </w:tc>
        <w:tc>
          <w:tcPr>
            <w:tcW w:w="40" w:type="dxa"/>
            <w:vAlign w:val="bottom"/>
          </w:tcPr>
          <w:p>
            <w:pPr>
              <w:spacing w:after="0"/>
              <w:rPr>
                <w:sz w:val="14"/>
                <w:szCs w:val="14"/>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w w:val="98"/>
              </w:rPr>
              <w:t>Shares</w:t>
            </w:r>
          </w:p>
        </w:tc>
        <w:tc>
          <w:tcPr>
            <w:tcW w:w="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capital</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1"/>
              </w:rPr>
              <w:t>loss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deficit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2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Balance at</w:t>
            </w:r>
          </w:p>
        </w:tc>
        <w:tc>
          <w:tcPr>
            <w:tcW w:w="5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January 1,</w:t>
            </w: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2017</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0"/>
              </w:rPr>
              <w:t>612,446</w:t>
            </w:r>
          </w:p>
        </w:tc>
        <w:tc>
          <w:tcPr>
            <w:tcW w:w="6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88"/>
              </w:rPr>
              <w:t>$6,483,044</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3,913,207</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$26,399,079</w:t>
            </w:r>
          </w:p>
        </w:tc>
        <w:tc>
          <w:tcPr>
            <w:tcW w:w="4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 $</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1,153,061</w:t>
            </w: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88"/>
              </w:rPr>
              <w:t>$126,838</w:t>
            </w: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87"/>
              </w:rPr>
              <w:t>$18,940,120</w:t>
            </w:r>
          </w:p>
        </w:tc>
        <w:tc>
          <w:tcPr>
            <w:tcW w:w="22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(8,782,566)</w:t>
            </w:r>
          </w:p>
        </w:tc>
        <w:tc>
          <w:tcPr>
            <w:tcW w:w="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0"/>
              </w:rPr>
              <w:t>(31,749,937)</w:t>
            </w:r>
          </w:p>
        </w:tc>
        <w:tc>
          <w:tcPr>
            <w:tcW w:w="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90"/>
              </w:rPr>
              <w:t>(21,465,545)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20" w:type="dxa"/>
            <w:vAlign w:val="bottom"/>
          </w:tcPr>
          <w:p>
            <w:pPr>
              <w:spacing w:after="0" w:line="138" w:lineRule="exact"/>
              <w:rPr>
                <w:sz w:val="20"/>
                <w:szCs w:val="20"/>
                <w:color w:val="auto"/>
              </w:rPr>
            </w:pPr>
            <w:r>
              <w:rPr>
                <w:rFonts w:ascii="Arial" w:cs="Arial" w:eastAsia="Arial" w:hAnsi="Arial"/>
                <w:sz w:val="14"/>
                <w:szCs w:val="14"/>
                <w:color w:val="auto"/>
              </w:rPr>
              <w:t>Issuance of</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ind w:left="120"/>
              <w:spacing w:after="0" w:line="149" w:lineRule="exact"/>
              <w:rPr>
                <w:sz w:val="20"/>
                <w:szCs w:val="20"/>
                <w:color w:val="auto"/>
              </w:rPr>
            </w:pPr>
            <w:r>
              <w:rPr>
                <w:rFonts w:ascii="Arial" w:cs="Arial" w:eastAsia="Arial" w:hAnsi="Arial"/>
                <w:sz w:val="14"/>
                <w:szCs w:val="14"/>
                <w:color w:val="auto"/>
              </w:rPr>
              <w:t>Series B</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ind w:left="120"/>
              <w:spacing w:after="0" w:line="149" w:lineRule="exact"/>
              <w:rPr>
                <w:sz w:val="20"/>
                <w:szCs w:val="20"/>
                <w:color w:val="auto"/>
              </w:rPr>
            </w:pPr>
            <w:r>
              <w:rPr>
                <w:rFonts w:ascii="Arial" w:cs="Arial" w:eastAsia="Arial" w:hAnsi="Arial"/>
                <w:sz w:val="14"/>
                <w:szCs w:val="14"/>
                <w:color w:val="auto"/>
              </w:rPr>
              <w:t>convertible</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ind w:left="120"/>
              <w:spacing w:after="0" w:line="149" w:lineRule="exact"/>
              <w:rPr>
                <w:sz w:val="20"/>
                <w:szCs w:val="20"/>
                <w:color w:val="auto"/>
              </w:rPr>
            </w:pPr>
            <w:r>
              <w:rPr>
                <w:rFonts w:ascii="Arial" w:cs="Arial" w:eastAsia="Arial" w:hAnsi="Arial"/>
                <w:sz w:val="14"/>
                <w:szCs w:val="14"/>
                <w:color w:val="auto"/>
              </w:rPr>
              <w:t>preferred</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ind w:left="120"/>
              <w:spacing w:after="0" w:line="149" w:lineRule="exact"/>
              <w:rPr>
                <w:sz w:val="20"/>
                <w:szCs w:val="20"/>
                <w:color w:val="auto"/>
              </w:rPr>
            </w:pPr>
            <w:r>
              <w:rPr>
                <w:rFonts w:ascii="Arial" w:cs="Arial" w:eastAsia="Arial" w:hAnsi="Arial"/>
                <w:sz w:val="14"/>
                <w:szCs w:val="14"/>
                <w:color w:val="auto"/>
              </w:rPr>
              <w:t>stock, net of</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ind w:left="120"/>
              <w:spacing w:after="0" w:line="149" w:lineRule="exact"/>
              <w:rPr>
                <w:sz w:val="20"/>
                <w:szCs w:val="20"/>
                <w:color w:val="auto"/>
              </w:rPr>
            </w:pPr>
            <w:r>
              <w:rPr>
                <w:rFonts w:ascii="Arial" w:cs="Arial" w:eastAsia="Arial" w:hAnsi="Arial"/>
                <w:sz w:val="14"/>
                <w:szCs w:val="14"/>
                <w:color w:val="auto"/>
                <w:w w:val="84"/>
              </w:rPr>
              <w:t>issuance costs</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20" w:type="dxa"/>
            <w:vAlign w:val="bottom"/>
          </w:tcPr>
          <w:p>
            <w:pPr>
              <w:ind w:left="120"/>
              <w:spacing w:after="0" w:line="159" w:lineRule="exact"/>
              <w:rPr>
                <w:sz w:val="20"/>
                <w:szCs w:val="20"/>
                <w:color w:val="auto"/>
              </w:rPr>
            </w:pPr>
            <w:r>
              <w:rPr>
                <w:rFonts w:ascii="Arial" w:cs="Arial" w:eastAsia="Arial" w:hAnsi="Arial"/>
                <w:sz w:val="14"/>
                <w:szCs w:val="14"/>
                <w:color w:val="auto"/>
              </w:rPr>
              <w:t>of $47,047</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 3,322,762</w:t>
            </w: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9"/>
              </w:rPr>
              <w:t>23,343,863</w:t>
            </w:r>
          </w:p>
        </w:tc>
        <w:tc>
          <w:tcPr>
            <w:tcW w:w="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Stock-based</w:t>
            </w: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w w:val="89"/>
              </w:rPr>
              <w:t>compensation</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395,440</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395,440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20" w:type="dxa"/>
            <w:vAlign w:val="bottom"/>
          </w:tcPr>
          <w:p>
            <w:pPr>
              <w:spacing w:after="0" w:line="138" w:lineRule="exact"/>
              <w:rPr>
                <w:sz w:val="20"/>
                <w:szCs w:val="20"/>
                <w:color w:val="auto"/>
              </w:rPr>
            </w:pPr>
            <w:r>
              <w:rPr>
                <w:rFonts w:ascii="Arial" w:cs="Arial" w:eastAsia="Arial" w:hAnsi="Arial"/>
                <w:sz w:val="14"/>
                <w:szCs w:val="14"/>
                <w:color w:val="auto"/>
              </w:rPr>
              <w:t>Foreign</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ind w:left="120"/>
              <w:spacing w:after="0" w:line="149" w:lineRule="exact"/>
              <w:rPr>
                <w:sz w:val="20"/>
                <w:szCs w:val="20"/>
                <w:color w:val="auto"/>
              </w:rPr>
            </w:pPr>
            <w:r>
              <w:rPr>
                <w:rFonts w:ascii="Arial" w:cs="Arial" w:eastAsia="Arial" w:hAnsi="Arial"/>
                <w:sz w:val="14"/>
                <w:szCs w:val="14"/>
                <w:color w:val="auto"/>
              </w:rPr>
              <w:t>currency</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20" w:type="dxa"/>
            <w:vAlign w:val="bottom"/>
          </w:tcPr>
          <w:p>
            <w:pPr>
              <w:ind w:left="120"/>
              <w:spacing w:after="0" w:line="159" w:lineRule="exact"/>
              <w:rPr>
                <w:sz w:val="20"/>
                <w:szCs w:val="20"/>
                <w:color w:val="auto"/>
              </w:rPr>
            </w:pPr>
            <w:r>
              <w:rPr>
                <w:rFonts w:ascii="Arial" w:cs="Arial" w:eastAsia="Arial" w:hAnsi="Arial"/>
                <w:sz w:val="14"/>
                <w:szCs w:val="14"/>
                <w:color w:val="auto"/>
              </w:rPr>
              <w:t>translation</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495,160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495,160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loss</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(15,190,250)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0"/>
              </w:rPr>
              <w:t>(15,190,250)</w:t>
            </w:r>
          </w:p>
        </w:tc>
        <w:tc>
          <w:tcPr>
            <w:tcW w:w="0" w:type="dxa"/>
            <w:vAlign w:val="bottom"/>
          </w:tcPr>
          <w:p>
            <w:pPr>
              <w:spacing w:after="0"/>
              <w:rPr>
                <w:sz w:val="1"/>
                <w:szCs w:val="1"/>
                <w:color w:val="auto"/>
              </w:rPr>
            </w:pPr>
          </w:p>
        </w:tc>
      </w:tr>
      <w:tr>
        <w:trPr>
          <w:trHeight w:val="131"/>
        </w:trPr>
        <w:tc>
          <w:tcPr>
            <w:tcW w:w="940" w:type="dxa"/>
            <w:vAlign w:val="bottom"/>
            <w:gridSpan w:val="2"/>
          </w:tcPr>
          <w:p>
            <w:pPr>
              <w:spacing w:after="0" w:line="131" w:lineRule="exact"/>
              <w:rPr>
                <w:sz w:val="20"/>
                <w:szCs w:val="20"/>
                <w:color w:val="auto"/>
              </w:rPr>
            </w:pPr>
            <w:r>
              <w:rPr>
                <w:rFonts w:ascii="Arial" w:cs="Arial" w:eastAsia="Arial" w:hAnsi="Arial"/>
                <w:sz w:val="14"/>
                <w:szCs w:val="14"/>
                <w:color w:val="auto"/>
              </w:rPr>
              <w:t>Balance at</w:t>
            </w:r>
          </w:p>
        </w:tc>
        <w:tc>
          <w:tcPr>
            <w:tcW w:w="5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ind w:left="120"/>
              <w:spacing w:after="0" w:line="149" w:lineRule="exact"/>
              <w:rPr>
                <w:sz w:val="20"/>
                <w:szCs w:val="20"/>
                <w:color w:val="auto"/>
              </w:rPr>
            </w:pPr>
            <w:r>
              <w:rPr>
                <w:rFonts w:ascii="Arial" w:cs="Arial" w:eastAsia="Arial" w:hAnsi="Arial"/>
                <w:sz w:val="14"/>
                <w:szCs w:val="14"/>
                <w:color w:val="auto"/>
                <w:w w:val="88"/>
              </w:rPr>
              <w:t>December 31,</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94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2017</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w w:val="90"/>
              </w:rPr>
              <w:t>612,446</w:t>
            </w:r>
          </w:p>
        </w:tc>
        <w:tc>
          <w:tcPr>
            <w:tcW w:w="64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88"/>
              </w:rPr>
              <w:t>$6,483,044</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6"/>
              </w:rPr>
              <w:t>7,235,969</w:t>
            </w: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89"/>
              </w:rPr>
              <w:t>$49,742,942</w:t>
            </w:r>
          </w:p>
        </w:tc>
        <w:tc>
          <w:tcPr>
            <w:tcW w:w="4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 $</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6"/>
              </w:rPr>
              <w:t>1,153,061</w:t>
            </w: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88"/>
              </w:rPr>
              <w:t>$126,838</w:t>
            </w: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87"/>
              </w:rPr>
              <w:t>$19,335,560</w:t>
            </w:r>
          </w:p>
        </w:tc>
        <w:tc>
          <w:tcPr>
            <w:tcW w:w="22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(8,287,406)</w:t>
            </w:r>
          </w:p>
        </w:tc>
        <w:tc>
          <w:tcPr>
            <w:tcW w:w="12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0"/>
              </w:rPr>
              <w:t>(46,940,187)</w:t>
            </w:r>
          </w:p>
        </w:tc>
        <w:tc>
          <w:tcPr>
            <w:tcW w:w="10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w w:val="90"/>
              </w:rPr>
              <w:t>(35,765,195)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w:t>
            </w: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Series C</w:t>
            </w: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convertible</w:t>
            </w: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preferred</w:t>
            </w: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 net of</w:t>
            </w: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4"/>
              </w:rPr>
              <w:t>issuance costs</w:t>
            </w: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w w:val="91"/>
              </w:rPr>
              <w:t>of $3,278,302</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3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 4,712,698</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2"/>
              </w:rPr>
              <w:t>56,364,645</w:t>
            </w: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20" w:type="dxa"/>
            <w:vAlign w:val="bottom"/>
          </w:tcPr>
          <w:p>
            <w:pPr>
              <w:spacing w:after="0" w:line="138" w:lineRule="exact"/>
              <w:rPr>
                <w:sz w:val="20"/>
                <w:szCs w:val="20"/>
                <w:color w:val="auto"/>
              </w:rPr>
            </w:pPr>
            <w:r>
              <w:rPr>
                <w:rFonts w:ascii="Arial" w:cs="Arial" w:eastAsia="Arial" w:hAnsi="Arial"/>
                <w:sz w:val="14"/>
                <w:szCs w:val="14"/>
                <w:color w:val="auto"/>
              </w:rPr>
              <w:t>Exercise of</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20" w:type="dxa"/>
            <w:vAlign w:val="bottom"/>
          </w:tcPr>
          <w:p>
            <w:pPr>
              <w:ind w:left="120"/>
              <w:spacing w:after="0" w:line="159" w:lineRule="exact"/>
              <w:rPr>
                <w:sz w:val="20"/>
                <w:szCs w:val="20"/>
                <w:color w:val="auto"/>
              </w:rPr>
            </w:pPr>
            <w:r>
              <w:rPr>
                <w:rFonts w:ascii="Arial" w:cs="Arial" w:eastAsia="Arial" w:hAnsi="Arial"/>
                <w:sz w:val="14"/>
                <w:szCs w:val="14"/>
                <w:color w:val="auto"/>
                <w:w w:val="95"/>
              </w:rPr>
              <w:t>stock options</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2,305</w:t>
            </w: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253</w:t>
            </w: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1,844</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2,097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Stock-based</w:t>
            </w: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w w:val="89"/>
              </w:rPr>
              <w:t>compensation</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329,184</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329,184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20" w:type="dxa"/>
            <w:vAlign w:val="bottom"/>
          </w:tcPr>
          <w:p>
            <w:pPr>
              <w:spacing w:after="0" w:line="138" w:lineRule="exact"/>
              <w:rPr>
                <w:sz w:val="20"/>
                <w:szCs w:val="20"/>
                <w:color w:val="auto"/>
              </w:rPr>
            </w:pPr>
            <w:r>
              <w:rPr>
                <w:rFonts w:ascii="Arial" w:cs="Arial" w:eastAsia="Arial" w:hAnsi="Arial"/>
                <w:sz w:val="14"/>
                <w:szCs w:val="14"/>
                <w:color w:val="auto"/>
              </w:rPr>
              <w:t>Foreign</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ind w:left="120"/>
              <w:spacing w:after="0" w:line="149" w:lineRule="exact"/>
              <w:rPr>
                <w:sz w:val="20"/>
                <w:szCs w:val="20"/>
                <w:color w:val="auto"/>
              </w:rPr>
            </w:pPr>
            <w:r>
              <w:rPr>
                <w:rFonts w:ascii="Arial" w:cs="Arial" w:eastAsia="Arial" w:hAnsi="Arial"/>
                <w:sz w:val="14"/>
                <w:szCs w:val="14"/>
                <w:color w:val="auto"/>
              </w:rPr>
              <w:t>currency</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20" w:type="dxa"/>
            <w:vAlign w:val="bottom"/>
          </w:tcPr>
          <w:p>
            <w:pPr>
              <w:ind w:left="120"/>
              <w:spacing w:after="0" w:line="159" w:lineRule="exact"/>
              <w:rPr>
                <w:sz w:val="20"/>
                <w:szCs w:val="20"/>
                <w:color w:val="auto"/>
              </w:rPr>
            </w:pPr>
            <w:r>
              <w:rPr>
                <w:rFonts w:ascii="Arial" w:cs="Arial" w:eastAsia="Arial" w:hAnsi="Arial"/>
                <w:sz w:val="14"/>
                <w:szCs w:val="14"/>
                <w:color w:val="auto"/>
              </w:rPr>
              <w:t>translation</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(473,919)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(473,919)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loss</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(15,528,269)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0"/>
              </w:rPr>
              <w:t>(15,528,269)</w:t>
            </w:r>
          </w:p>
        </w:tc>
        <w:tc>
          <w:tcPr>
            <w:tcW w:w="0" w:type="dxa"/>
            <w:vAlign w:val="bottom"/>
          </w:tcPr>
          <w:p>
            <w:pPr>
              <w:spacing w:after="0"/>
              <w:rPr>
                <w:sz w:val="1"/>
                <w:szCs w:val="1"/>
                <w:color w:val="auto"/>
              </w:rPr>
            </w:pPr>
          </w:p>
        </w:tc>
      </w:tr>
      <w:tr>
        <w:trPr>
          <w:trHeight w:val="131"/>
        </w:trPr>
        <w:tc>
          <w:tcPr>
            <w:tcW w:w="940" w:type="dxa"/>
            <w:vAlign w:val="bottom"/>
            <w:gridSpan w:val="2"/>
          </w:tcPr>
          <w:p>
            <w:pPr>
              <w:spacing w:after="0" w:line="131" w:lineRule="exact"/>
              <w:rPr>
                <w:sz w:val="20"/>
                <w:szCs w:val="20"/>
                <w:color w:val="auto"/>
              </w:rPr>
            </w:pPr>
            <w:r>
              <w:rPr>
                <w:rFonts w:ascii="Arial" w:cs="Arial" w:eastAsia="Arial" w:hAnsi="Arial"/>
                <w:sz w:val="14"/>
                <w:szCs w:val="14"/>
                <w:color w:val="auto"/>
              </w:rPr>
              <w:t>Balance at</w:t>
            </w:r>
          </w:p>
        </w:tc>
        <w:tc>
          <w:tcPr>
            <w:tcW w:w="5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ind w:left="120"/>
              <w:spacing w:after="0" w:line="149" w:lineRule="exact"/>
              <w:rPr>
                <w:sz w:val="20"/>
                <w:szCs w:val="20"/>
                <w:color w:val="auto"/>
              </w:rPr>
            </w:pPr>
            <w:r>
              <w:rPr>
                <w:rFonts w:ascii="Arial" w:cs="Arial" w:eastAsia="Arial" w:hAnsi="Arial"/>
                <w:sz w:val="14"/>
                <w:szCs w:val="14"/>
                <w:color w:val="auto"/>
                <w:w w:val="88"/>
              </w:rPr>
              <w:t>December 31,</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94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2018</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w w:val="90"/>
              </w:rPr>
              <w:t>612,446</w:t>
            </w:r>
          </w:p>
        </w:tc>
        <w:tc>
          <w:tcPr>
            <w:tcW w:w="640" w:type="dxa"/>
            <w:vAlign w:val="bottom"/>
            <w:gridSpan w:val="2"/>
          </w:tcPr>
          <w:p>
            <w:pPr>
              <w:jc w:val="right"/>
              <w:spacing w:after="0" w:line="159"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6,483,044</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6"/>
              </w:rPr>
              <w:t>7,235,969</w:t>
            </w: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u w:val="single" w:color="auto"/>
                <w:color w:val="auto"/>
                <w:w w:val="89"/>
              </w:rPr>
              <w:t>$</w:t>
            </w:r>
            <w:r>
              <w:rPr>
                <w:rFonts w:ascii="Arial" w:cs="Arial" w:eastAsia="Arial" w:hAnsi="Arial"/>
                <w:sz w:val="14"/>
                <w:szCs w:val="14"/>
                <w:color w:val="auto"/>
                <w:w w:val="89"/>
              </w:rPr>
              <w:t>49,742,942</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6"/>
              </w:rPr>
              <w:t>4,712,698</w:t>
            </w:r>
          </w:p>
        </w:tc>
        <w:tc>
          <w:tcPr>
            <w:tcW w:w="100" w:type="dxa"/>
            <w:vAlign w:val="bottom"/>
            <w:gridSpan w:val="2"/>
          </w:tcPr>
          <w:p>
            <w:pPr>
              <w:jc w:val="right"/>
              <w:spacing w:after="0" w:line="159" w:lineRule="exact"/>
              <w:rPr>
                <w:sz w:val="20"/>
                <w:szCs w:val="20"/>
                <w:color w:val="auto"/>
              </w:rPr>
            </w:pPr>
            <w:r>
              <w:rPr>
                <w:rFonts w:ascii="Arial" w:cs="Arial" w:eastAsia="Arial" w:hAnsi="Arial"/>
                <w:sz w:val="14"/>
                <w:szCs w:val="14"/>
                <w:u w:val="single" w:color="auto"/>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82"/>
              </w:rPr>
              <w:t>56,364,645</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6"/>
              </w:rPr>
              <w:t>1,155,366</w:t>
            </w: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127,091</w:t>
            </w: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u w:val="single" w:color="auto"/>
                <w:color w:val="auto"/>
                <w:w w:val="87"/>
              </w:rPr>
              <w:t>$</w:t>
            </w:r>
            <w:r>
              <w:rPr>
                <w:rFonts w:ascii="Arial" w:cs="Arial" w:eastAsia="Arial" w:hAnsi="Arial"/>
                <w:sz w:val="14"/>
                <w:szCs w:val="14"/>
                <w:color w:val="auto"/>
                <w:w w:val="87"/>
              </w:rPr>
              <w:t>19,666,588</w:t>
            </w:r>
          </w:p>
        </w:tc>
        <w:tc>
          <w:tcPr>
            <w:tcW w:w="22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(8,761,325)$</w:t>
            </w:r>
          </w:p>
        </w:tc>
        <w:tc>
          <w:tcPr>
            <w:tcW w:w="840" w:type="dxa"/>
            <w:vAlign w:val="bottom"/>
            <w:gridSpan w:val="4"/>
          </w:tcPr>
          <w:p>
            <w:pPr>
              <w:jc w:val="right"/>
              <w:spacing w:after="0" w:line="159" w:lineRule="exact"/>
              <w:rPr>
                <w:sz w:val="20"/>
                <w:szCs w:val="20"/>
                <w:color w:val="auto"/>
              </w:rPr>
            </w:pPr>
            <w:r>
              <w:rPr>
                <w:rFonts w:ascii="Arial" w:cs="Arial" w:eastAsia="Arial" w:hAnsi="Arial"/>
                <w:sz w:val="14"/>
                <w:szCs w:val="14"/>
                <w:color w:val="auto"/>
                <w:w w:val="91"/>
              </w:rPr>
              <w:t>(62,468,456)$</w:t>
            </w: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w w:val="90"/>
              </w:rPr>
              <w:t>(51,436,102)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320"/>
          </w:cols>
          <w:pgMar w:left="1380" w:top="126" w:right="1199" w:bottom="1440" w:gutter="0" w:footer="0" w:header="0"/>
        </w:sectPr>
      </w:pPr>
    </w:p>
    <w:bookmarkStart w:id="208" w:name="page209"/>
    <w:bookmarkEnd w:id="208"/>
    <w:p>
      <w:pPr>
        <w:jc w:val="center"/>
        <w:ind w:right="40"/>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6"/>
              </w:rPr>
              <w:t>Years ended December 31,</w:t>
            </w: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(15,190,250)</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(15,528,269)</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Adjustments to reconcile net loss to net cash used in operating activities: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8,316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329,184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Foreign currency gain</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(662,140)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(961,316)</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520"/>
              <w:spacing w:after="0"/>
              <w:rPr>
                <w:sz w:val="20"/>
                <w:szCs w:val="20"/>
                <w:color w:val="auto"/>
              </w:rPr>
            </w:pPr>
            <w:r>
              <w:rPr>
                <w:rFonts w:ascii="Arial" w:cs="Arial" w:eastAsia="Arial" w:hAnsi="Arial"/>
                <w:sz w:val="18"/>
                <w:szCs w:val="18"/>
                <w:color w:val="auto"/>
              </w:rPr>
              <w:t>Prepaid expense and other current assets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(19,452)</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327,054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214,380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520"/>
              <w:spacing w:after="0"/>
              <w:rPr>
                <w:sz w:val="20"/>
                <w:szCs w:val="20"/>
                <w:color w:val="auto"/>
              </w:rPr>
            </w:pPr>
            <w:r>
              <w:rPr>
                <w:rFonts w:ascii="Arial" w:cs="Arial" w:eastAsia="Arial" w:hAnsi="Arial"/>
                <w:sz w:val="18"/>
                <w:szCs w:val="18"/>
                <w:color w:val="auto"/>
              </w:rPr>
              <w:t>Accrued expenses and other liabilities</w:t>
            </w:r>
          </w:p>
        </w:tc>
        <w:tc>
          <w:tcPr>
            <w:tcW w:w="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1,115,805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706,923</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operating activities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(14,002,118)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(15,250,234)</w:t>
            </w:r>
          </w:p>
        </w:tc>
      </w:tr>
      <w:tr>
        <w:trPr>
          <w:trHeight w:val="209"/>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and equipment</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(3,702)</w:t>
            </w:r>
          </w:p>
        </w:tc>
      </w:tr>
      <w:tr>
        <w:trPr>
          <w:trHeight w:val="210"/>
        </w:trPr>
        <w:tc>
          <w:tcPr>
            <w:tcW w:w="20" w:type="dxa"/>
            <w:vAlign w:val="bottom"/>
          </w:tcPr>
          <w:p>
            <w:pPr>
              <w:spacing w:after="0"/>
              <w:rPr>
                <w:sz w:val="18"/>
                <w:szCs w:val="18"/>
                <w:color w:val="auto"/>
              </w:rPr>
            </w:pPr>
          </w:p>
        </w:tc>
        <w:tc>
          <w:tcPr>
            <w:tcW w:w="5960" w:type="dxa"/>
            <w:vAlign w:val="bottom"/>
          </w:tcPr>
          <w:p>
            <w:pPr>
              <w:ind w:left="700"/>
              <w:spacing w:after="0"/>
              <w:rPr>
                <w:sz w:val="20"/>
                <w:szCs w:val="20"/>
                <w:color w:val="auto"/>
              </w:rPr>
            </w:pPr>
            <w:r>
              <w:rPr>
                <w:rFonts w:ascii="Arial" w:cs="Arial" w:eastAsia="Arial" w:hAnsi="Arial"/>
                <w:sz w:val="18"/>
                <w:szCs w:val="18"/>
                <w:color w:val="auto"/>
              </w:rPr>
              <w:t>Net cash used in investing activities</w:t>
            </w:r>
          </w:p>
        </w:tc>
        <w:tc>
          <w:tcPr>
            <w:tcW w:w="7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(3,702)</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Proceeds from the exercise of stock options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Series B convertible preferred, net</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23,343,863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Proceeds from issuance of Series C convertible preferred, net</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56,364,645</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7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23,343,863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56,366,742</w:t>
            </w:r>
          </w:p>
        </w:tc>
        <w:tc>
          <w:tcPr>
            <w:tcW w:w="160" w:type="dxa"/>
            <w:vAlign w:val="bottom"/>
            <w:shd w:val="clear" w:color="auto" w:fill="CCEEFF"/>
          </w:tcPr>
          <w:p>
            <w:pPr>
              <w:spacing w:after="0"/>
              <w:rPr>
                <w:sz w:val="18"/>
                <w:szCs w:val="18"/>
                <w:color w:val="auto"/>
              </w:rPr>
            </w:pPr>
          </w:p>
        </w:tc>
      </w:tr>
      <w:tr>
        <w:trPr>
          <w:trHeight w:val="210"/>
        </w:trPr>
        <w:tc>
          <w:tcPr>
            <w:tcW w:w="5980" w:type="dxa"/>
            <w:vAlign w:val="bottom"/>
            <w:gridSpan w:val="2"/>
          </w:tcPr>
          <w:p>
            <w:pPr>
              <w:spacing w:after="0"/>
              <w:rPr>
                <w:sz w:val="20"/>
                <w:szCs w:val="20"/>
                <w:color w:val="auto"/>
              </w:rPr>
            </w:pPr>
            <w:r>
              <w:rPr>
                <w:rFonts w:ascii="Arial" w:cs="Arial" w:eastAsia="Arial" w:hAnsi="Arial"/>
                <w:sz w:val="18"/>
                <w:szCs w:val="18"/>
                <w:color w:val="auto"/>
              </w:rPr>
              <w:t>Increase in cash</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9,341,745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41,112,806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1,394,568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161,637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Cash and cash equivalents—beginning of year</w:t>
            </w:r>
          </w:p>
        </w:tc>
        <w:tc>
          <w:tcPr>
            <w:tcW w:w="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13,665,175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24,401,488</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equivalents—end of year</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24,401,488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65,675,931</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41" w:right="1379" w:bottom="1440" w:gutter="0" w:footer="0" w:header="0"/>
        </w:sectPr>
      </w:pPr>
    </w:p>
    <w:bookmarkStart w:id="209" w:name="page210"/>
    <w:bookmarkEnd w:id="209"/>
    <w:p>
      <w:pPr>
        <w:jc w:val="center"/>
        <w:ind w:right="-19"/>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basis of presentation</w:t>
      </w:r>
    </w:p>
    <w:p>
      <w:pPr>
        <w:spacing w:after="0" w:line="225" w:lineRule="exact"/>
        <w:rPr>
          <w:sz w:val="20"/>
          <w:szCs w:val="20"/>
          <w:color w:val="auto"/>
        </w:rPr>
      </w:pPr>
    </w:p>
    <w:p>
      <w:pPr>
        <w:ind w:right="100" w:firstLine="351"/>
        <w:spacing w:after="0" w:line="310" w:lineRule="auto"/>
        <w:rPr>
          <w:sz w:val="20"/>
          <w:szCs w:val="20"/>
          <w:color w:val="auto"/>
        </w:rPr>
      </w:pPr>
      <w:r>
        <w:rPr>
          <w:rFonts w:ascii="Arial" w:cs="Arial" w:eastAsia="Arial" w:hAnsi="Arial"/>
          <w:sz w:val="16"/>
          <w:szCs w:val="16"/>
          <w:b w:val="1"/>
          <w:bCs w:val="1"/>
          <w:color w:val="auto"/>
        </w:rPr>
        <w:t>Nature of business</w:t>
      </w:r>
      <w:r>
        <w:rPr>
          <w:rFonts w:ascii="Arial" w:cs="Arial" w:eastAsia="Arial" w:hAnsi="Arial"/>
          <w:sz w:val="16"/>
          <w:szCs w:val="16"/>
          <w:color w:val="auto"/>
        </w:rPr>
        <w:t>—Aprea Therapeutics AB (the "Company") is a clinical-stage biopharmaceutical company focused on developing and commercializing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novel cancer therapeutics that reactivate mutant tumor suppressor protein p53. p53 is the protein expressed from the </w:t>
      </w:r>
      <w:r>
        <w:rPr>
          <w:rFonts w:ascii="Arial" w:cs="Arial" w:eastAsia="Arial" w:hAnsi="Arial"/>
          <w:sz w:val="16"/>
          <w:szCs w:val="16"/>
          <w:i w:val="1"/>
          <w:iCs w:val="1"/>
          <w:color w:val="auto"/>
        </w:rPr>
        <w:t>TP53</w:t>
      </w:r>
      <w:r>
        <w:rPr>
          <w:rFonts w:ascii="Arial" w:cs="Arial" w:eastAsia="Arial" w:hAnsi="Arial"/>
          <w:sz w:val="16"/>
          <w:szCs w:val="16"/>
          <w:color w:val="auto"/>
        </w:rPr>
        <w:t xml:space="preserve"> gene, the most commonly mutated gene in cancer. The Company began operations in 2006. Its principal offices are in Stockholm, Sweden and Boston, Massachusetts.</w:t>
      </w:r>
    </w:p>
    <w:p>
      <w:pPr>
        <w:spacing w:after="0" w:line="151" w:lineRule="exact"/>
        <w:rPr>
          <w:sz w:val="20"/>
          <w:szCs w:val="20"/>
          <w:color w:val="auto"/>
        </w:rPr>
      </w:pPr>
    </w:p>
    <w:p>
      <w:pPr>
        <w:jc w:val="both"/>
        <w:ind w:right="340" w:firstLine="351"/>
        <w:spacing w:after="0" w:line="262" w:lineRule="auto"/>
        <w:rPr>
          <w:sz w:val="20"/>
          <w:szCs w:val="20"/>
          <w:color w:val="auto"/>
        </w:rPr>
      </w:pPr>
      <w:r>
        <w:rPr>
          <w:rFonts w:ascii="Arial" w:cs="Arial" w:eastAsia="Arial" w:hAnsi="Arial"/>
          <w:sz w:val="18"/>
          <w:szCs w:val="18"/>
          <w:b w:val="1"/>
          <w:bCs w:val="1"/>
          <w:color w:val="auto"/>
        </w:rPr>
        <w:t>Basis of presentation and management plans</w:t>
      </w:r>
      <w:r>
        <w:rPr>
          <w:rFonts w:ascii="Arial" w:cs="Arial" w:eastAsia="Arial" w:hAnsi="Arial"/>
          <w:sz w:val="18"/>
          <w:szCs w:val="18"/>
          <w:color w:val="auto"/>
        </w:rPr>
        <w:t>—The accompanying financial statements are prepared in conformity with accounting principles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accepted in the United States ("U.S. GAAP"). The accompanying financial statements have been prepared on a going concern basis, which contemplates the realization of assets and the satisfaction of liabilities in the normal course of business.</w:t>
      </w:r>
    </w:p>
    <w:p>
      <w:pPr>
        <w:spacing w:after="0" w:line="192" w:lineRule="exact"/>
        <w:rPr>
          <w:sz w:val="20"/>
          <w:szCs w:val="20"/>
          <w:color w:val="auto"/>
        </w:rPr>
      </w:pPr>
    </w:p>
    <w:p>
      <w:pPr>
        <w:jc w:val="both"/>
        <w:ind w:right="320" w:firstLine="351"/>
        <w:spacing w:after="0" w:line="370" w:lineRule="auto"/>
        <w:rPr>
          <w:sz w:val="20"/>
          <w:szCs w:val="20"/>
          <w:color w:val="auto"/>
        </w:rPr>
      </w:pPr>
      <w:r>
        <w:rPr>
          <w:rFonts w:ascii="Arial" w:cs="Arial" w:eastAsia="Arial" w:hAnsi="Arial"/>
          <w:sz w:val="15"/>
          <w:szCs w:val="15"/>
          <w:color w:val="auto"/>
        </w:rPr>
        <w:t>Since its inception, the Company has devoted substantially all of its efforts to business planning, research and development, recruiting management and technical staff, and raising capital, and has financed its operations through the issuance of convertible preferred stock ("Preferred Stock") and common stock.</w:t>
      </w:r>
    </w:p>
    <w:p>
      <w:pPr>
        <w:spacing w:after="0" w:line="116"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Company is subject to risks common to companies in the biopharmaceutical industry. There can be no assurance that the Company's research and development will be successfully completed, that adequate protection for the Company's intellectual property will be maintained, that any therapeutic products developed will obtain required regulatory approval or that any approved or consumer products will be commercially viable. Even if the Company's development efforts are successful, it is uncertain when, if ever, the Company will generate significant product sales.</w:t>
      </w:r>
    </w:p>
    <w:p>
      <w:pPr>
        <w:spacing w:after="0" w:line="167"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Company's management believes that the December 31, 2018 cash balance of $65,675,931, along with the gross proceeds of $5,645,248 from the issuance of Series C convertible preferred stock ("Series C Preferred") from a new investor in February 2019, will be sufficient to fund the Company's operations into the third quarter of 2021. In the event that additional funds are not available thereafter, management would expect to significantly reduce expenditures to conserve cash, which would involve scaling back or curtailing new development activity.</w:t>
      </w:r>
    </w:p>
    <w:p>
      <w:pPr>
        <w:spacing w:after="0" w:line="167"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Prior to the completion of its initial public offering, the Company will approve a 1-for-1.6045 stock split of the Company's preferred and common stock. All share and per share amounts in the consolidated financial statements and notes thereto have been retroactively adjusted for all periods presented to give effect to this split.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5"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consolidated financial statements include the accounts of Aprea Therapeutics AB and its wholly owned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Aprea Personal AB, which was incorporated in May 2009, and Aprea US, Inc., which was incorporated in June 2016. All intercompany transactions and balances have been eliminated.</w:t>
      </w:r>
    </w:p>
    <w:p>
      <w:pPr>
        <w:spacing w:after="0" w:line="186" w:lineRule="exact"/>
        <w:rPr>
          <w:sz w:val="20"/>
          <w:szCs w:val="20"/>
          <w:color w:val="auto"/>
        </w:rPr>
      </w:pPr>
    </w:p>
    <w:p>
      <w:pPr>
        <w:ind w:right="140" w:firstLine="351"/>
        <w:spacing w:after="0" w:line="258" w:lineRule="auto"/>
        <w:rPr>
          <w:sz w:val="20"/>
          <w:szCs w:val="20"/>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—The preparation of financial statements in conformity with U.S. GAAP requires management to make estimates and assumptions that</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reported amounts of assets, liabilities, revenue, and expenses as of and during the reporting period. The Company bases estimates and assumptions on historical experience when available and on various factors that it believes to be reasonable under the circumstances. The Company assesses estimates on an ongoing basis; however,</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10" w:name="page211"/>
    <w:bookmarkEnd w:id="210"/>
    <w:p>
      <w:pPr>
        <w:jc w:val="center"/>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actual results could materially differ from those estimates. Significant items subject to such estimates and assumptions include fair value of stock-based compensation expense.</w:t>
      </w:r>
    </w:p>
    <w:p>
      <w:pPr>
        <w:spacing w:after="0" w:line="180"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b w:val="1"/>
          <w:bCs w:val="1"/>
          <w:color w:val="auto"/>
        </w:rPr>
        <w:t>Unaudited pro forma financial information</w:t>
      </w:r>
      <w:r>
        <w:rPr>
          <w:rFonts w:ascii="Arial" w:cs="Arial" w:eastAsia="Arial" w:hAnsi="Arial"/>
          <w:sz w:val="16"/>
          <w:szCs w:val="16"/>
          <w:color w:val="auto"/>
        </w:rPr>
        <w:t>—The Company is planning a proposed offer and sale by Aprea Therapeutics, Inc., a Delaware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and successor entity, of common stock in an initial public offering (the "IPO"). Prior to the completion of the IPO, pursuant to a corporate reorganization, the Company became a wholly-owned subsidiary of Aprea Therapeutics, Inc. In connection with the corporate reorganization, each issued and outstanding share of Series A, Series B and Series C convertible preferred stock of the Company was exchanged on a one for one basis into shares of Series A, Series B and Series C convertible preferred stock of Aprea Therapeutics, Inc. Each share of common stock of the Company was exchanged on a one for one basis in to shares of common stock of Aprea Therapeutics, Inc. Prior to consummation of the IPO, all outstanding shares of Series A, Series B and Series C convertible preferred stock of Aprea Therapeutics, Inc. will be converted into common stock.</w:t>
      </w:r>
    </w:p>
    <w:p>
      <w:pPr>
        <w:spacing w:after="0" w:line="173"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unaudited pro forma basic and diluted weighted average common shares outstanding used in the calculation of unaudited pro forma basic and diluted net loss per share attributable to common stockholders for the years ended December 31, 2017 and 2018 give effect to the automatic conversion of all outstanding shares of convertible preferred stock into shares of common stock as if the conversion had occurred on the later of January 1, 2017 or the issuance date of the convertible preferred stock for the year ended December 31, 2017, and on the later of January 1, 2018 or the issuance date of the convertible preferred stock for the year ended December 31, 2018.</w:t>
      </w:r>
    </w:p>
    <w:p>
      <w:pPr>
        <w:spacing w:after="0" w:line="191"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Foreign currency and currency translation</w:t>
      </w:r>
      <w:r>
        <w:rPr>
          <w:rFonts w:ascii="Arial" w:cs="Arial" w:eastAsia="Arial" w:hAnsi="Arial"/>
          <w:sz w:val="16"/>
          <w:szCs w:val="16"/>
          <w:color w:val="auto"/>
        </w:rPr>
        <w:t>—The functional currency for Aprea Therapeutics AB and its wholly owned foreign subsidiary, Aprea Personal</w:t>
      </w:r>
      <w:r>
        <w:rPr>
          <w:rFonts w:ascii="Arial" w:cs="Arial" w:eastAsia="Arial" w:hAnsi="Arial"/>
          <w:sz w:val="16"/>
          <w:szCs w:val="16"/>
          <w:b w:val="1"/>
          <w:bCs w:val="1"/>
          <w:color w:val="auto"/>
        </w:rPr>
        <w:t xml:space="preserve"> </w:t>
      </w:r>
      <w:r>
        <w:rPr>
          <w:rFonts w:ascii="Arial" w:cs="Arial" w:eastAsia="Arial" w:hAnsi="Arial"/>
          <w:sz w:val="16"/>
          <w:szCs w:val="16"/>
          <w:color w:val="auto"/>
        </w:rPr>
        <w:t>AB, is the Swedish Krona. Assets and liabilities of Aprea Therapeutics AB and Aprea Personal AB are translated into United States dollars at the exchange rate in effect on the balance sheet date. Revenues and expenses are translated at the average exchange rate in effect during the period. Unrealized translation gains and losses are recorded as a cumulative translation adjustment, which is included in the consolidated statements of convertible preferred stock and stockholders' deficit as a component of accumulated other comprehensive loss. Adjustments that arise from exchange rate changes on transactions denominated in a currency other than the local currency are included in other income (expense), net in the consolidated statements of operations as incurred.</w:t>
      </w:r>
    </w:p>
    <w:p>
      <w:pPr>
        <w:spacing w:after="0" w:line="165" w:lineRule="exact"/>
        <w:rPr>
          <w:sz w:val="20"/>
          <w:szCs w:val="20"/>
          <w:color w:val="auto"/>
        </w:rPr>
      </w:pPr>
    </w:p>
    <w:p>
      <w:pPr>
        <w:ind w:right="20" w:firstLine="351"/>
        <w:spacing w:after="0" w:line="258" w:lineRule="auto"/>
        <w:rPr>
          <w:sz w:val="20"/>
          <w:szCs w:val="20"/>
          <w:color w:val="auto"/>
        </w:rPr>
      </w:pPr>
      <w:r>
        <w:rPr>
          <w:rFonts w:ascii="Arial" w:cs="Arial" w:eastAsia="Arial" w:hAnsi="Arial"/>
          <w:sz w:val="18"/>
          <w:szCs w:val="18"/>
          <w:b w:val="1"/>
          <w:bCs w:val="1"/>
          <w:color w:val="auto"/>
        </w:rPr>
        <w:t>Concentrations of credit risk</w:t>
      </w:r>
      <w:r>
        <w:rPr>
          <w:rFonts w:ascii="Arial" w:cs="Arial" w:eastAsia="Arial" w:hAnsi="Arial"/>
          <w:sz w:val="18"/>
          <w:szCs w:val="18"/>
          <w:color w:val="auto"/>
        </w:rPr>
        <w:t>—Financial instruments that potentially subject the Company to significant concentration of credit risk consist primarily of</w:t>
      </w:r>
      <w:r>
        <w:rPr>
          <w:rFonts w:ascii="Arial" w:cs="Arial" w:eastAsia="Arial" w:hAnsi="Arial"/>
          <w:sz w:val="18"/>
          <w:szCs w:val="18"/>
          <w:b w:val="1"/>
          <w:bCs w:val="1"/>
          <w:color w:val="auto"/>
        </w:rPr>
        <w:t xml:space="preserve"> </w:t>
      </w:r>
      <w:r>
        <w:rPr>
          <w:rFonts w:ascii="Arial" w:cs="Arial" w:eastAsia="Arial" w:hAnsi="Arial"/>
          <w:sz w:val="18"/>
          <w:szCs w:val="18"/>
          <w:color w:val="auto"/>
        </w:rPr>
        <w:t>cash. Periodically, the Company may maintain deposits in financial institutions in excess of government insured limits. Management believes that the Company is not exposed to significant credit risk as the Company's deposits are held at financial institutions that management believes to be of high credit quality, and the Company has not experienced any losses on these deposits.</w:t>
      </w:r>
    </w:p>
    <w:p>
      <w:pPr>
        <w:spacing w:after="0" w:line="190" w:lineRule="exact"/>
        <w:rPr>
          <w:sz w:val="20"/>
          <w:szCs w:val="20"/>
          <w:color w:val="auto"/>
        </w:rPr>
      </w:pPr>
    </w:p>
    <w:p>
      <w:pPr>
        <w:ind w:right="20" w:firstLine="351"/>
        <w:spacing w:after="0" w:line="275"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—The Company considers all highly liquid investments with original maturities of three months or less at the date of purchase to</w:t>
      </w:r>
      <w:r>
        <w:rPr>
          <w:rFonts w:ascii="Arial" w:cs="Arial" w:eastAsia="Arial" w:hAnsi="Arial"/>
          <w:sz w:val="18"/>
          <w:szCs w:val="18"/>
          <w:b w:val="1"/>
          <w:bCs w:val="1"/>
          <w:color w:val="auto"/>
        </w:rPr>
        <w:t xml:space="preserve"> </w:t>
      </w:r>
      <w:r>
        <w:rPr>
          <w:rFonts w:ascii="Arial" w:cs="Arial" w:eastAsia="Arial" w:hAnsi="Arial"/>
          <w:sz w:val="18"/>
          <w:szCs w:val="18"/>
          <w:color w:val="auto"/>
        </w:rPr>
        <w:t>be cash equivalents.</w:t>
      </w:r>
    </w:p>
    <w:p>
      <w:pPr>
        <w:spacing w:after="0" w:line="174" w:lineRule="exact"/>
        <w:rPr>
          <w:sz w:val="20"/>
          <w:szCs w:val="20"/>
          <w:color w:val="auto"/>
        </w:rPr>
      </w:pPr>
    </w:p>
    <w:p>
      <w:pPr>
        <w:ind w:right="560" w:firstLine="351"/>
        <w:spacing w:after="0" w:line="339" w:lineRule="auto"/>
        <w:rPr>
          <w:sz w:val="20"/>
          <w:szCs w:val="20"/>
          <w:color w:val="auto"/>
        </w:rPr>
      </w:pPr>
      <w:r>
        <w:rPr>
          <w:rFonts w:ascii="Arial" w:cs="Arial" w:eastAsia="Arial" w:hAnsi="Arial"/>
          <w:sz w:val="16"/>
          <w:szCs w:val="16"/>
          <w:b w:val="1"/>
          <w:bCs w:val="1"/>
          <w:color w:val="auto"/>
        </w:rPr>
        <w:t>Deferred initial public offering costs</w:t>
      </w:r>
      <w:r>
        <w:rPr>
          <w:rFonts w:ascii="Arial" w:cs="Arial" w:eastAsia="Arial" w:hAnsi="Arial"/>
          <w:sz w:val="16"/>
          <w:szCs w:val="16"/>
          <w:color w:val="auto"/>
        </w:rPr>
        <w:t>—The Company capitalizes deferred initial public offering ("IPO") costs, which primarily consist of direct,</w:t>
      </w:r>
      <w:r>
        <w:rPr>
          <w:rFonts w:ascii="Arial" w:cs="Arial" w:eastAsia="Arial" w:hAnsi="Arial"/>
          <w:sz w:val="16"/>
          <w:szCs w:val="16"/>
          <w:b w:val="1"/>
          <w:bCs w:val="1"/>
          <w:color w:val="auto"/>
        </w:rPr>
        <w:t xml:space="preserve"> </w:t>
      </w:r>
      <w:r>
        <w:rPr>
          <w:rFonts w:ascii="Arial" w:cs="Arial" w:eastAsia="Arial" w:hAnsi="Arial"/>
          <w:sz w:val="16"/>
          <w:szCs w:val="16"/>
          <w:color w:val="auto"/>
        </w:rPr>
        <w:t>incremental legal, professional, accounting and other third-party fees relating to the Company's initial public offering, within other non-current assets. The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1" w:name="page212"/>
    <w:bookmarkEnd w:id="211"/>
    <w:p>
      <w:pPr>
        <w:jc w:val="center"/>
        <w:ind w:right="-39"/>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deferred IPO costs will be offset against IPO proceeds upon the consummation of an offering. Should the planned IPO be abandoned, the deferred issuance costs will be expensed immediately as a charge to operating expenses in the consolidated statement of operations and comprehensive loss. There were no deferred IPO costs as of December 31, 2018.</w:t>
      </w:r>
    </w:p>
    <w:p>
      <w:pPr>
        <w:spacing w:after="0" w:line="18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—Property and equipment are recorded at cost. Expenditures for repairs and maintenance are expensed as incurred. When assets</w:t>
      </w:r>
      <w:r>
        <w:rPr>
          <w:rFonts w:ascii="Arial" w:cs="Arial" w:eastAsia="Arial" w:hAnsi="Arial"/>
          <w:sz w:val="18"/>
          <w:szCs w:val="18"/>
          <w:b w:val="1"/>
          <w:bCs w:val="1"/>
          <w:color w:val="auto"/>
        </w:rPr>
        <w:t xml:space="preserve"> </w:t>
      </w:r>
      <w:r>
        <w:rPr>
          <w:rFonts w:ascii="Arial" w:cs="Arial" w:eastAsia="Arial" w:hAnsi="Arial"/>
          <w:sz w:val="18"/>
          <w:szCs w:val="18"/>
          <w:color w:val="auto"/>
        </w:rPr>
        <w:t>are retired or disposed of, the assets and related accumulated depreciation are eliminated from the accounts, and any resulting gain or loss is included in the determination of net income or loss. Fixed assets acquired for research and development purposes are assessed for alternative future use. Depreciation is provided using the straight-line method over the estimated useful lives of the related assets. Leasehold improvements are amortized over the shorter of the lease term or the estimated useful life of the asset.</w:t>
      </w:r>
    </w:p>
    <w:p>
      <w:pPr>
        <w:spacing w:after="0" w:line="19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080" w:type="dxa"/>
            <w:vAlign w:val="bottom"/>
            <w:gridSpan w:val="3"/>
          </w:tcPr>
          <w:p>
            <w:pPr>
              <w:spacing w:after="0"/>
              <w:rPr>
                <w:sz w:val="20"/>
                <w:szCs w:val="20"/>
                <w:color w:val="auto"/>
              </w:rPr>
            </w:pPr>
            <w:r>
              <w:rPr>
                <w:rFonts w:ascii="Arial" w:cs="Arial" w:eastAsia="Arial" w:hAnsi="Arial"/>
                <w:sz w:val="14"/>
                <w:szCs w:val="14"/>
                <w:b w:val="1"/>
                <w:bCs w:val="1"/>
                <w:color w:val="auto"/>
              </w:rPr>
              <w:t>Asset category</w:t>
            </w:r>
          </w:p>
        </w:tc>
        <w:tc>
          <w:tcPr>
            <w:tcW w:w="1900" w:type="dxa"/>
            <w:vAlign w:val="bottom"/>
          </w:tcPr>
          <w:p>
            <w:pPr>
              <w:ind w:left="360"/>
              <w:spacing w:after="0"/>
              <w:rPr>
                <w:sz w:val="20"/>
                <w:szCs w:val="20"/>
                <w:color w:val="auto"/>
              </w:rPr>
            </w:pPr>
            <w:r>
              <w:rPr>
                <w:rFonts w:ascii="Arial" w:cs="Arial" w:eastAsia="Arial" w:hAnsi="Arial"/>
                <w:sz w:val="14"/>
                <w:szCs w:val="14"/>
                <w:b w:val="1"/>
                <w:bCs w:val="1"/>
                <w:color w:val="auto"/>
              </w:rPr>
              <w:t>Estimated useful life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1900" w:type="dxa"/>
            <w:vAlign w:val="bottom"/>
          </w:tcPr>
          <w:p>
            <w:pPr>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Laboratory equipment and office furniture</w:t>
            </w: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900" w:type="dxa"/>
            <w:vAlign w:val="bottom"/>
          </w:tcPr>
          <w:p>
            <w:pPr>
              <w:spacing w:after="0"/>
              <w:rPr>
                <w:sz w:val="20"/>
                <w:szCs w:val="20"/>
                <w:color w:val="auto"/>
              </w:rPr>
            </w:pPr>
            <w:r>
              <w:rPr>
                <w:rFonts w:ascii="Arial" w:cs="Arial" w:eastAsia="Arial" w:hAnsi="Arial"/>
                <w:sz w:val="18"/>
                <w:szCs w:val="18"/>
                <w:color w:val="auto"/>
                <w:w w:val="95"/>
              </w:rPr>
              <w:t>Remainder of lease term</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60" w:firstLine="351"/>
        <w:spacing w:after="0" w:line="296" w:lineRule="auto"/>
        <w:rPr>
          <w:sz w:val="20"/>
          <w:szCs w:val="20"/>
          <w:color w:val="auto"/>
        </w:rPr>
      </w:pPr>
      <w:r>
        <w:rPr>
          <w:rFonts w:ascii="Arial" w:cs="Arial" w:eastAsia="Arial" w:hAnsi="Arial"/>
          <w:sz w:val="16"/>
          <w:szCs w:val="16"/>
          <w:b w:val="1"/>
          <w:bCs w:val="1"/>
          <w:color w:val="auto"/>
        </w:rPr>
        <w:t>Impairment of long-lived assets</w:t>
      </w:r>
      <w:r>
        <w:rPr>
          <w:rFonts w:ascii="Arial" w:cs="Arial" w:eastAsia="Arial" w:hAnsi="Arial"/>
          <w:sz w:val="16"/>
          <w:szCs w:val="16"/>
          <w:color w:val="auto"/>
        </w:rPr>
        <w:t>—Periodically, the Company evaluates its long-lived assets, which consist primarily of property and equipment, for</w:t>
      </w:r>
      <w:r>
        <w:rPr>
          <w:rFonts w:ascii="Arial" w:cs="Arial" w:eastAsia="Arial" w:hAnsi="Arial"/>
          <w:sz w:val="16"/>
          <w:szCs w:val="16"/>
          <w:b w:val="1"/>
          <w:bCs w:val="1"/>
          <w:color w:val="auto"/>
        </w:rPr>
        <w:t xml:space="preserve"> </w:t>
      </w:r>
      <w:r>
        <w:rPr>
          <w:rFonts w:ascii="Arial" w:cs="Arial" w:eastAsia="Arial" w:hAnsi="Arial"/>
          <w:sz w:val="16"/>
          <w:szCs w:val="16"/>
          <w:color w:val="auto"/>
        </w:rPr>
        <w:t>impairment whenever events or changes in circumstances indicate that the carrying amount of such assets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by the amount by which the carrying amount of the asset exceeds the fair value of the asset. To date, no impairments have occurred.</w:t>
      </w:r>
    </w:p>
    <w:p>
      <w:pPr>
        <w:spacing w:after="0" w:line="162" w:lineRule="exact"/>
        <w:rPr>
          <w:sz w:val="20"/>
          <w:szCs w:val="20"/>
          <w:color w:val="auto"/>
        </w:rPr>
      </w:pPr>
    </w:p>
    <w:p>
      <w:pPr>
        <w:ind w:right="200" w:firstLine="351"/>
        <w:spacing w:after="0" w:line="301" w:lineRule="auto"/>
        <w:rPr>
          <w:sz w:val="20"/>
          <w:szCs w:val="20"/>
          <w:color w:val="auto"/>
        </w:rPr>
      </w:pPr>
      <w:r>
        <w:rPr>
          <w:rFonts w:ascii="Arial" w:cs="Arial" w:eastAsia="Arial" w:hAnsi="Arial"/>
          <w:sz w:val="16"/>
          <w:szCs w:val="16"/>
          <w:b w:val="1"/>
          <w:bCs w:val="1"/>
          <w:color w:val="auto"/>
        </w:rPr>
        <w:t>Fair value of financial instruments</w:t>
      </w:r>
      <w:r>
        <w:rPr>
          <w:rFonts w:ascii="Arial" w:cs="Arial" w:eastAsia="Arial" w:hAnsi="Arial"/>
          <w:sz w:val="16"/>
          <w:szCs w:val="16"/>
          <w:color w:val="auto"/>
        </w:rPr>
        <w:t>—Fair value is defined as the price that would be received upon sale of an asset or paid to transfer a liability between</w:t>
      </w:r>
      <w:r>
        <w:rPr>
          <w:rFonts w:ascii="Arial" w:cs="Arial" w:eastAsia="Arial" w:hAnsi="Arial"/>
          <w:sz w:val="16"/>
          <w:szCs w:val="16"/>
          <w:b w:val="1"/>
          <w:bCs w:val="1"/>
          <w:color w:val="auto"/>
        </w:rPr>
        <w:t xml:space="preserve"> </w:t>
      </w:r>
      <w:r>
        <w:rPr>
          <w:rFonts w:ascii="Arial" w:cs="Arial" w:eastAsia="Arial" w:hAnsi="Arial"/>
          <w:sz w:val="16"/>
          <w:szCs w:val="16"/>
          <w:color w:val="auto"/>
        </w:rPr>
        <w:t>market participants at measurement dates. ASC Topic 820, Fair Value Measurement ("ASC 820"), establishes a three-level valuation hierarchy for instruments measured at fair value. The hierarchy is based on the transparency of inputs to the valuation of an asset or liability as of the measurement date. The hierarchy defines three levels of valuation inputs, of which the first two are considered observable and the last is considered unobservable:</w:t>
      </w:r>
    </w:p>
    <w:p>
      <w:pPr>
        <w:spacing w:after="0" w:line="177" w:lineRule="exact"/>
        <w:rPr>
          <w:sz w:val="20"/>
          <w:szCs w:val="20"/>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Level 1 inputs: Quoted prices in active markets for identical assets or liabilities.</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Level 2 inputs: Inputs other than quoted prices included within Level 1 that are either directly or indirectly observable, such as quoted market prices, interest rates and yield curves.</w:t>
      </w:r>
    </w:p>
    <w:p>
      <w:pPr>
        <w:spacing w:after="0" w:line="199"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Level 3 inputs: Unobservable inputs developed using estimates or assumptions developed by the Company, which reflect those that a market participant would use in pricing the asset or liability.</w:t>
      </w:r>
    </w:p>
    <w:p>
      <w:pPr>
        <w:spacing w:after="0" w:line="186"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12" w:name="page213"/>
    <w:bookmarkEnd w:id="212"/>
    <w:p>
      <w:pPr>
        <w:jc w:val="center"/>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25" w:lineRule="exact"/>
        <w:rPr>
          <w:sz w:val="20"/>
          <w:szCs w:val="20"/>
          <w:color w:val="auto"/>
        </w:rPr>
      </w:pPr>
    </w:p>
    <w:p>
      <w:pPr>
        <w:ind w:right="100" w:firstLine="351"/>
        <w:spacing w:after="0" w:line="296" w:lineRule="auto"/>
        <w:rPr>
          <w:sz w:val="20"/>
          <w:szCs w:val="20"/>
          <w:color w:val="auto"/>
        </w:rPr>
      </w:pPr>
      <w:r>
        <w:rPr>
          <w:rFonts w:ascii="Arial" w:cs="Arial" w:eastAsia="Arial" w:hAnsi="Arial"/>
          <w:sz w:val="16"/>
          <w:szCs w:val="16"/>
          <w:b w:val="1"/>
          <w:bCs w:val="1"/>
          <w:color w:val="auto"/>
        </w:rPr>
        <w:t>Convertible preferred stock</w:t>
      </w:r>
      <w:r>
        <w:rPr>
          <w:rFonts w:ascii="Arial" w:cs="Arial" w:eastAsia="Arial" w:hAnsi="Arial"/>
          <w:sz w:val="16"/>
          <w:szCs w:val="16"/>
          <w:color w:val="auto"/>
        </w:rPr>
        <w:t>—The Company has classified convertible preferred stock ("Preferred Stock") as temporary equity in the accompanying</w:t>
      </w:r>
      <w:r>
        <w:rPr>
          <w:rFonts w:ascii="Arial" w:cs="Arial" w:eastAsia="Arial" w:hAnsi="Arial"/>
          <w:sz w:val="16"/>
          <w:szCs w:val="16"/>
          <w:b w:val="1"/>
          <w:bCs w:val="1"/>
          <w:color w:val="auto"/>
        </w:rPr>
        <w:t xml:space="preserve"> </w:t>
      </w:r>
      <w:r>
        <w:rPr>
          <w:rFonts w:ascii="Arial" w:cs="Arial" w:eastAsia="Arial" w:hAnsi="Arial"/>
          <w:sz w:val="16"/>
          <w:szCs w:val="16"/>
          <w:color w:val="auto"/>
        </w:rPr>
        <w:t>balance sheets due to certain change in control events that are outside of the Company's control, including sale or transfer of control of the Company, as holders of the Preferred Stock could cause redemption of the shares in these situations. The Company does not accrete the carrying values of the Preferred Stock to the redemption values since a liquidation event was not considered probable as of December 31, 2018. Subsequent adjustments of the carrying values to the ultimate redemption values will be made only if it becomes probable that such a liquidation event will occur.</w:t>
      </w:r>
    </w:p>
    <w:p>
      <w:pPr>
        <w:spacing w:after="0" w:line="162"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Research and development costs</w:t>
      </w:r>
      <w:r>
        <w:rPr>
          <w:rFonts w:ascii="Arial" w:cs="Arial" w:eastAsia="Arial" w:hAnsi="Arial"/>
          <w:sz w:val="16"/>
          <w:szCs w:val="16"/>
          <w:color w:val="auto"/>
        </w:rPr>
        <w:t>—Research and development costs are charged to expense as incurred. Research and development expense consists of</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incurred in performing research and development activities, including salaries and benefits, materials and supplies, preclinical expenses, stock-based compensation expense, depreciation of equipment, contract services, and other outside expenses. Costs for certain development activities are recognized based on an evaluation of the progress to completion of specific tasks using or information provided to the Company by its vendors on their actual costs incurred. Payments for these activities are based on the terms of the individual arrangements, which may differ from the pattern of costs incurred, and are reflected in the financial statements as prepaid or accrued research and development.</w:t>
      </w:r>
    </w:p>
    <w:p>
      <w:pPr>
        <w:spacing w:after="0" w:line="165" w:lineRule="exact"/>
        <w:rPr>
          <w:sz w:val="20"/>
          <w:szCs w:val="20"/>
          <w:color w:val="auto"/>
        </w:rPr>
      </w:pPr>
    </w:p>
    <w:p>
      <w:pPr>
        <w:ind w:right="80" w:firstLine="351"/>
        <w:spacing w:after="0" w:line="275" w:lineRule="auto"/>
        <w:rPr>
          <w:sz w:val="20"/>
          <w:szCs w:val="20"/>
          <w:color w:val="auto"/>
        </w:rPr>
      </w:pPr>
      <w:r>
        <w:rPr>
          <w:rFonts w:ascii="Arial" w:cs="Arial" w:eastAsia="Arial" w:hAnsi="Arial"/>
          <w:sz w:val="18"/>
          <w:szCs w:val="18"/>
          <w:b w:val="1"/>
          <w:bCs w:val="1"/>
          <w:color w:val="auto"/>
        </w:rPr>
        <w:t>Patent costs</w:t>
      </w:r>
      <w:r>
        <w:rPr>
          <w:rFonts w:ascii="Arial" w:cs="Arial" w:eastAsia="Arial" w:hAnsi="Arial"/>
          <w:sz w:val="18"/>
          <w:szCs w:val="18"/>
          <w:color w:val="auto"/>
        </w:rPr>
        <w:t>—All patent-related costs incurred in connection with filing and prosecuting patent applications are expensed as incurred due to the uncertainty</w:t>
      </w:r>
      <w:r>
        <w:rPr>
          <w:rFonts w:ascii="Arial" w:cs="Arial" w:eastAsia="Arial" w:hAnsi="Arial"/>
          <w:sz w:val="18"/>
          <w:szCs w:val="18"/>
          <w:b w:val="1"/>
          <w:bCs w:val="1"/>
          <w:color w:val="auto"/>
        </w:rPr>
        <w:t xml:space="preserve"> </w:t>
      </w:r>
      <w:r>
        <w:rPr>
          <w:rFonts w:ascii="Arial" w:cs="Arial" w:eastAsia="Arial" w:hAnsi="Arial"/>
          <w:sz w:val="18"/>
          <w:szCs w:val="18"/>
          <w:color w:val="auto"/>
        </w:rPr>
        <w:t>about the recovery of the expenditure. Amounts incurred are classified as general and administrative expenses.</w:t>
      </w:r>
    </w:p>
    <w:p>
      <w:pPr>
        <w:spacing w:after="0" w:line="17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b w:val="1"/>
          <w:bCs w:val="1"/>
          <w:color w:val="auto"/>
        </w:rPr>
        <w:t>Stock-based compensation</w:t>
      </w:r>
      <w:r>
        <w:rPr>
          <w:rFonts w:ascii="Arial" w:cs="Arial" w:eastAsia="Arial" w:hAnsi="Arial"/>
          <w:sz w:val="18"/>
          <w:szCs w:val="18"/>
          <w:color w:val="auto"/>
        </w:rPr>
        <w:t>—The Company measures stock options and other stock-based awards granted to employees and directors based on their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on the date of the grant and recognize compensation expense of those awards, net of estimated forfeitures, over the requisite service period, which is generally the vesting period of the respective award. The Company applies the straight-line method of expense recognition to all awards with only service-based vesting conditions and apply the graded-vesting method to all awards with performance-based vesting conditions or to awards with both service-based and performance-based vesting conditions.</w:t>
      </w:r>
    </w:p>
    <w:p>
      <w:pPr>
        <w:spacing w:after="0" w:line="199" w:lineRule="exact"/>
        <w:rPr>
          <w:sz w:val="20"/>
          <w:szCs w:val="20"/>
          <w:color w:val="auto"/>
        </w:rPr>
      </w:pPr>
    </w:p>
    <w:p>
      <w:pPr>
        <w:ind w:right="320" w:firstLine="351"/>
        <w:spacing w:after="0" w:line="255" w:lineRule="auto"/>
        <w:rPr>
          <w:sz w:val="20"/>
          <w:szCs w:val="20"/>
          <w:color w:val="auto"/>
        </w:rPr>
      </w:pPr>
      <w:r>
        <w:rPr>
          <w:rFonts w:ascii="Arial" w:cs="Arial" w:eastAsia="Arial" w:hAnsi="Arial"/>
          <w:sz w:val="18"/>
          <w:szCs w:val="18"/>
          <w:color w:val="auto"/>
        </w:rPr>
        <w:t>For stock-based awards granted to non-employees, compensation expense is recognized over the period during which services are rendered by such non-employees until completed in accordance with the FASB issued ASU No. 2018-07, Compensation-Stock Compensation (Topic 718): Improvements to Nonemployee Share-Based Payment Accounting. The new standard largely aligns the accounting for share-based payment awards issued to employees and nonemployees by expanding the scope of ASC 718 to apply to nonemployee share-based transactions, as long as the transaction is not effectively a form of financing.</w:t>
      </w:r>
    </w:p>
    <w:p>
      <w:pPr>
        <w:spacing w:after="0" w:line="197"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The Company estimates the fair value of each stock option grant on the date of grant using the Black-Scholes option-pricing model, which uses as inputs the fair value of the Company's common stock and assumptions the Company makes for the volatility of its common stock, the expected term of its stock options, the risk-free interest rate for a period that approximates the expected term of its stock options and its expected dividend yield.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13" w:name="page214"/>
    <w:bookmarkEnd w:id="213"/>
    <w:p>
      <w:pPr>
        <w:jc w:val="center"/>
        <w:ind w:right="-79"/>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fair value of common stock</w:t>
      </w:r>
    </w:p>
    <w:p>
      <w:pPr>
        <w:spacing w:after="0" w:line="225" w:lineRule="exact"/>
        <w:rPr>
          <w:sz w:val="20"/>
          <w:szCs w:val="20"/>
          <w:color w:val="auto"/>
        </w:rPr>
      </w:pPr>
    </w:p>
    <w:p>
      <w:pPr>
        <w:ind w:firstLine="341"/>
        <w:spacing w:after="0" w:line="285" w:lineRule="auto"/>
        <w:rPr>
          <w:sz w:val="20"/>
          <w:szCs w:val="20"/>
          <w:color w:val="auto"/>
        </w:rPr>
      </w:pPr>
      <w:r>
        <w:rPr>
          <w:rFonts w:ascii="Arial" w:cs="Arial" w:eastAsia="Arial" w:hAnsi="Arial"/>
          <w:sz w:val="16"/>
          <w:szCs w:val="16"/>
          <w:color w:val="auto"/>
        </w:rPr>
        <w:t>As there has been no public market for the Company's common stock to date, the estimated fair value of its common stock has been determined by its board of directors as of the date of each option grant, with input from management, considering the Company's most recently available third-party valuations of common stock and its board of directors'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Valuation of Privately-Held-Company Equity Securities Issued as Compensation. The Company's common stock valuations were prepared using a hybrid method, which used market approaches to estimate its enterprise value. The hybrid method is a probability-weighed expected return method, or PWERM, where the equity value in one or more scenarios is calculated using an option-pricing method, or OPM.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 at the time of the liquidity event, such as a strategic sale or a merger.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These third-party valuations were performed at various dates, which resulted in valuations of the Company's common stock of $0.92 per share as of May 31, 2016, $1.01 per share as of October 2, 2017 and $3.18 per share as of December 31, 2018.</w:t>
      </w:r>
    </w:p>
    <w:p>
      <w:pPr>
        <w:spacing w:after="0" w:line="178"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addition to considering the results of these third-party valuations, the Company's board of directors considered various objective and subjective factors to determine the fair value of its common stock as of each grant date, including:</w:t>
      </w:r>
    </w:p>
    <w:p>
      <w:pPr>
        <w:spacing w:after="0" w:line="199" w:lineRule="exact"/>
        <w:rPr>
          <w:sz w:val="20"/>
          <w:szCs w:val="20"/>
          <w:color w:val="auto"/>
        </w:rPr>
      </w:pPr>
    </w:p>
    <w:p>
      <w:pPr>
        <w:ind w:left="1080" w:right="560" w:hanging="532"/>
        <w:spacing w:after="0" w:line="268"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prices at which the Company sold shares of preferred stock and the superior rights and preferences of the preferred stock relative to its common stock at the time of each grant;</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progress of the Company's research and development programs, including the status and results of preclinical studies and clinical trials for its product candidates;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Company's stage of development and commercialization and its business strategy;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external market conditions affecting the biopharmaceutical industry and trends within the biopharmaceutical industry;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Company's financial position, including cash on hand, and its historical and forecasted performance and operating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lack of an active public market for the Company's common stock and its preferred stock;</w:t>
      </w:r>
    </w:p>
    <w:p>
      <w:pPr>
        <w:spacing w:after="0" w:line="238"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IPO, or sale of the Company in light of prevailing market conditions; and</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214" w:name="page215"/>
    <w:bookmarkEnd w:id="214"/>
    <w:p>
      <w:pPr>
        <w:jc w:val="center"/>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45" w:lineRule="exact"/>
        <w:rPr>
          <w:sz w:val="20"/>
          <w:szCs w:val="20"/>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analysis of IPOs and the market performance of similar companies in the biopharmaceutical industry.</w:t>
      </w:r>
    </w:p>
    <w:p>
      <w:pPr>
        <w:spacing w:after="0" w:line="225"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assumptions underlying these valuations represented management's best estimate, which involved inherent uncertainties and the application of management's judgment. As a result, if the Company had used significantly different assumptions or estimates, the fair value of its common stock and its stock-based compensation expense could have been materially different.</w:t>
      </w:r>
    </w:p>
    <w:p>
      <w:pPr>
        <w:spacing w:after="0" w:line="188" w:lineRule="exact"/>
        <w:rPr>
          <w:sz w:val="20"/>
          <w:szCs w:val="20"/>
          <w:color w:val="auto"/>
        </w:rPr>
      </w:pPr>
    </w:p>
    <w:p>
      <w:pPr>
        <w:ind w:right="180" w:firstLine="351"/>
        <w:spacing w:after="0" w:line="289" w:lineRule="auto"/>
        <w:rPr>
          <w:sz w:val="20"/>
          <w:szCs w:val="20"/>
          <w:color w:val="auto"/>
        </w:rPr>
      </w:pPr>
      <w:r>
        <w:rPr>
          <w:rFonts w:ascii="Arial" w:cs="Arial" w:eastAsia="Arial" w:hAnsi="Arial"/>
          <w:sz w:val="16"/>
          <w:szCs w:val="16"/>
          <w:b w:val="1"/>
          <w:bCs w:val="1"/>
          <w:color w:val="auto"/>
        </w:rPr>
        <w:t>Income taxes</w:t>
      </w:r>
      <w:r>
        <w:rPr>
          <w:rFonts w:ascii="Arial" w:cs="Arial" w:eastAsia="Arial" w:hAnsi="Arial"/>
          <w:sz w:val="16"/>
          <w:szCs w:val="16"/>
          <w:color w:val="auto"/>
        </w:rPr>
        <w:t>—The Company accounts for income tax in accordance with ASC 740-10, Income Taxes ("ASC 740-10"), which requires the recognition of</w:t>
      </w:r>
      <w:r>
        <w:rPr>
          <w:rFonts w:ascii="Arial" w:cs="Arial" w:eastAsia="Arial" w:hAnsi="Arial"/>
          <w:sz w:val="16"/>
          <w:szCs w:val="16"/>
          <w:b w:val="1"/>
          <w:bCs w:val="1"/>
          <w:color w:val="auto"/>
        </w:rPr>
        <w:t xml:space="preserve"> </w:t>
      </w:r>
      <w:r>
        <w:rPr>
          <w:rFonts w:ascii="Arial" w:cs="Arial" w:eastAsia="Arial" w:hAnsi="Arial"/>
          <w:sz w:val="16"/>
          <w:szCs w:val="16"/>
          <w:color w:val="auto"/>
        </w:rPr>
        <w:t>deferred tax assets and liabilities for the expected future tax consequences of events that have been included in the Company's financial statements and tax returns. Deferred tax assets and liabilities are determined based upon the differences between the financial statement carrying amounts and the tax bases of existing assets and liabilities and for loss and credit carryforwards, using enacted tax rates expected to be in effect in the year in which the differences are expected to reverse. Deferred tax assets are reduced by a valuation allowance if it is more likely than not that these assets may not be realized. 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w:t>
      </w:r>
    </w:p>
    <w:p>
      <w:pPr>
        <w:spacing w:after="0" w:line="167" w:lineRule="exact"/>
        <w:rPr>
          <w:sz w:val="20"/>
          <w:szCs w:val="20"/>
          <w:color w:val="auto"/>
        </w:rPr>
      </w:pPr>
    </w:p>
    <w:p>
      <w:pPr>
        <w:ind w:right="100" w:firstLine="351"/>
        <w:spacing w:after="0" w:line="293" w:lineRule="auto"/>
        <w:rPr>
          <w:sz w:val="20"/>
          <w:szCs w:val="20"/>
          <w:color w:val="auto"/>
        </w:rPr>
      </w:pPr>
      <w:r>
        <w:rPr>
          <w:rFonts w:ascii="Arial" w:cs="Arial" w:eastAsia="Arial" w:hAnsi="Arial"/>
          <w:sz w:val="16"/>
          <w:szCs w:val="16"/>
          <w:b w:val="1"/>
          <w:bCs w:val="1"/>
          <w:color w:val="auto"/>
        </w:rPr>
        <w:t>Net loss per share</w:t>
      </w:r>
      <w:r>
        <w:rPr>
          <w:rFonts w:ascii="Arial" w:cs="Arial" w:eastAsia="Arial" w:hAnsi="Arial"/>
          <w:sz w:val="16"/>
          <w:szCs w:val="16"/>
          <w:color w:val="auto"/>
        </w:rPr>
        <w:t>—The Company has reported losses since inception and has computed basic net loss per share attributable to common stockholders by</w:t>
      </w:r>
      <w:r>
        <w:rPr>
          <w:rFonts w:ascii="Arial" w:cs="Arial" w:eastAsia="Arial" w:hAnsi="Arial"/>
          <w:sz w:val="16"/>
          <w:szCs w:val="16"/>
          <w:b w:val="1"/>
          <w:bCs w:val="1"/>
          <w:color w:val="auto"/>
        </w:rPr>
        <w:t xml:space="preserve"> </w:t>
      </w:r>
      <w:r>
        <w:rPr>
          <w:rFonts w:ascii="Arial" w:cs="Arial" w:eastAsia="Arial" w:hAnsi="Arial"/>
          <w:sz w:val="16"/>
          <w:szCs w:val="16"/>
          <w:color w:val="auto"/>
        </w:rPr>
        <w:t>dividing net loss attributable to common stockholders by the weighted-average number of common shares outstanding for the period, without consideration for potentially dilutive securities. The Company computes diluted net loss per common share after giving consideration to all potentially dilutive common shares, including options to purchase common stock and convertible preferred stock, outstanding during the period determined using the treasury-stock and if-converted methods, except where the effect of including such securities would be antidilutive. Because the Company has reported net losses since inception, these potential common shares have been anti-dilutive and basic and diluted loss per share were the same for all periods presented.</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Basic and diluted net loss per share attributable to common stockholders was calculated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20" w:type="dxa"/>
            <w:vAlign w:val="bottom"/>
            <w:gridSpan w:val="7"/>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2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(15,190,250)</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(15,528,269)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Denominator–basic and diluted:</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1,153,069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1,154,368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w w:val="90"/>
              </w:rPr>
              <w:t>Net loss per share attributable to common stockholders, basic and diluted</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(13.17)</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340" w:type="dxa"/>
            <w:vAlign w:val="bottom"/>
            <w:vMerge w:val="restart"/>
          </w:tcPr>
          <w:p>
            <w:pPr>
              <w:ind w:left="3820"/>
              <w:spacing w:after="0"/>
              <w:rPr>
                <w:sz w:val="20"/>
                <w:szCs w:val="20"/>
                <w:color w:val="auto"/>
              </w:rPr>
            </w:pPr>
            <w:r>
              <w:rPr>
                <w:rFonts w:ascii="Arial" w:cs="Arial" w:eastAsia="Arial" w:hAnsi="Arial"/>
                <w:sz w:val="18"/>
                <w:szCs w:val="18"/>
                <w:color w:val="auto"/>
              </w:rPr>
              <w:t>F-15</w:t>
            </w: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5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table sets forth the potentially dilutive securities that have been excluded from the calculation of diluted net loss per share because to include them would be anti-dilutive (in common stock equivalent shares):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0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8"/>
              </w:rPr>
              <w:t>Year ended December 31,</w:t>
            </w:r>
          </w:p>
        </w:tc>
      </w:tr>
      <w:tr>
        <w:trPr>
          <w:trHeight w:val="142"/>
        </w:trPr>
        <w:tc>
          <w:tcPr>
            <w:tcW w:w="59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Series A convertible preferred stock</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612,446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612,446</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Series B convertible preferred stock</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7,235,969</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7,235,969</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Series C convertible preferred stock</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4,712,698</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1,897,206</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1,844,188</w:t>
            </w:r>
          </w:p>
        </w:tc>
      </w:tr>
      <w:tr>
        <w:trPr>
          <w:trHeight w:val="20"/>
        </w:trPr>
        <w:tc>
          <w:tcPr>
            <w:tcW w:w="59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shares of common stock equivalents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9,745,621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14,405,301</w:t>
            </w:r>
          </w:p>
        </w:tc>
      </w:tr>
      <w:tr>
        <w:trPr>
          <w:trHeight w:val="20"/>
        </w:trPr>
        <w:tc>
          <w:tcPr>
            <w:tcW w:w="59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firstLine="351"/>
        <w:spacing w:after="0" w:line="310" w:lineRule="auto"/>
        <w:rPr>
          <w:sz w:val="20"/>
          <w:szCs w:val="20"/>
          <w:color w:val="auto"/>
        </w:rPr>
      </w:pPr>
      <w:r>
        <w:rPr>
          <w:rFonts w:ascii="Arial" w:cs="Arial" w:eastAsia="Arial" w:hAnsi="Arial"/>
          <w:sz w:val="16"/>
          <w:szCs w:val="16"/>
          <w:b w:val="1"/>
          <w:bCs w:val="1"/>
          <w:color w:val="auto"/>
        </w:rPr>
        <w:t>Pro forma net loss per share</w:t>
      </w:r>
      <w:r>
        <w:rPr>
          <w:rFonts w:ascii="Arial" w:cs="Arial" w:eastAsia="Arial" w:hAnsi="Arial"/>
          <w:sz w:val="16"/>
          <w:szCs w:val="16"/>
          <w:color w:val="auto"/>
        </w:rPr>
        <w:t>—Unaudited pro forma net loss per share attributable to common stockholders is computed using the weighted-average</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common shares outstanding after giving effect to the conversion of all the convertible preferred stock into shares of common stock as if such conversion had occurred at the beginning of the period presented or the date of original issuance, if later.</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Company's unaudited pro forma net loss per share attributable to common stockholders: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3"/>
          </w:tcPr>
          <w:p>
            <w:pPr>
              <w:ind w:left="2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w w:val="84"/>
              </w:rPr>
              <w:t>December 31, 2018</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Net loss attributable to common stockholders, 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(15,528,269)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Weighted average common shares outstanding—basic and diluted</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1,154,368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w w:val="98"/>
              </w:rPr>
              <w:t>Assumed conversion of Series A, Series B and Series C convertible preferred stock</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8,274,505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60" w:type="dxa"/>
            <w:vAlign w:val="bottom"/>
            <w:gridSpan w:val="2"/>
          </w:tcPr>
          <w:p>
            <w:pPr>
              <w:ind w:left="1720"/>
              <w:spacing w:after="0"/>
              <w:rPr>
                <w:sz w:val="20"/>
                <w:szCs w:val="20"/>
                <w:color w:val="auto"/>
              </w:rPr>
            </w:pPr>
            <w:r>
              <w:rPr>
                <w:rFonts w:ascii="Arial" w:cs="Arial" w:eastAsia="Arial" w:hAnsi="Arial"/>
                <w:sz w:val="18"/>
                <w:szCs w:val="18"/>
                <w:color w:val="auto"/>
              </w:rPr>
              <w:t>Pro forma weighted average common shares outstanding, basic and diluted</w:t>
            </w: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9,428,873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20" w:type="dxa"/>
            <w:vAlign w:val="bottom"/>
          </w:tcPr>
          <w:p>
            <w:pPr>
              <w:spacing w:after="0"/>
              <w:rPr>
                <w:sz w:val="17"/>
                <w:szCs w:val="17"/>
                <w:color w:val="auto"/>
              </w:rPr>
            </w:pPr>
          </w:p>
        </w:tc>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7"/>
              </w:rPr>
              <w:t>Pro forma net loss per share attributable to common stockholders,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(1.65)</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540" w:type="dxa"/>
            <w:vAlign w:val="bottom"/>
            <w:vMerge w:val="restart"/>
          </w:tcPr>
          <w:p>
            <w:pPr>
              <w:ind w:left="3820"/>
              <w:spacing w:after="0"/>
              <w:rPr>
                <w:sz w:val="20"/>
                <w:szCs w:val="20"/>
                <w:color w:val="auto"/>
              </w:rPr>
            </w:pPr>
            <w:r>
              <w:rPr>
                <w:rFonts w:ascii="Arial" w:cs="Arial" w:eastAsia="Arial" w:hAnsi="Arial"/>
                <w:sz w:val="18"/>
                <w:szCs w:val="18"/>
                <w:color w:val="auto"/>
              </w:rPr>
              <w:t>F-16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6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6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6" w:name="page217"/>
    <w:bookmarkEnd w:id="216"/>
    <w:p>
      <w:pPr>
        <w:jc w:val="center"/>
        <w:ind w:right="-19"/>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ind w:right="7120" w:firstLine="8"/>
        <w:spacing w:after="0" w:line="605" w:lineRule="auto"/>
        <w:tabs>
          <w:tab w:leader="none" w:pos="176" w:val="left"/>
        </w:tabs>
        <w:numPr>
          <w:ilvl w:val="0"/>
          <w:numId w:val="112"/>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(continued) Recently issued accounting pronouncements</w:t>
      </w:r>
    </w:p>
    <w:p>
      <w:pPr>
        <w:spacing w:after="0" w:line="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March 2016, the FASB issued ASU No. 2016-09, Compensation—Stock Compensation ("ASU No. 2016-09"), which amends ASC Topic 718, Compensation—Stock Compensation. ASU No. 2016-09 identifies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The amendments are effective for annual periods beginning after December 15, 2016, and interim periods within those annual periods. The Company adopted ASU No. 2016-09 effective January 1, 2017. The adoption of ASU No. 2016-09 did not have a material impact on the Company's financial statements. Upon adoption, the Company elected to account for forfeitures as they occur. The Company did not have any excess tax benefits associated with stock option exercises and therefore there was no deferred tax asset recorded upon adoption.</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Classification of Certain Cash Receipts and Cash Payments</w:t>
      </w:r>
      <w:r>
        <w:rPr>
          <w:rFonts w:ascii="Arial" w:cs="Arial" w:eastAsia="Arial" w:hAnsi="Arial"/>
          <w:sz w:val="16"/>
          <w:szCs w:val="16"/>
          <w:color w:val="auto"/>
        </w:rPr>
        <w:t xml:space="preserve"> ("ASU</w:t>
      </w:r>
    </w:p>
    <w:p>
      <w:pPr>
        <w:spacing w:after="0" w:line="38" w:lineRule="exact"/>
        <w:rPr>
          <w:sz w:val="20"/>
          <w:szCs w:val="20"/>
          <w:color w:val="auto"/>
        </w:rPr>
      </w:pPr>
    </w:p>
    <w:p>
      <w:pPr>
        <w:spacing w:after="0" w:line="331" w:lineRule="auto"/>
        <w:rPr>
          <w:sz w:val="20"/>
          <w:szCs w:val="20"/>
          <w:color w:val="auto"/>
        </w:rPr>
      </w:pPr>
      <w:r>
        <w:rPr>
          <w:rFonts w:ascii="Arial" w:cs="Arial" w:eastAsia="Arial" w:hAnsi="Arial"/>
          <w:sz w:val="15"/>
          <w:szCs w:val="15"/>
          <w:color w:val="auto"/>
        </w:rPr>
        <w:t>No. 2016-15"). This guidance addresses the presentation and classification of certain cash receipts and cash payments in the statement of cash flows. The standard is effective for annual periods beginning after December 15, 2017 and for interim periods within those fiscal years. Early adoption is permitted. The Company adopted ASU No. 2016-15 effective January 1, 2017. The adoption of ASU No. 2016-15 did not have a material impact on the Company's financial statements.</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Under ASU 2016-02, lessees will be required to recognize, for all leases of</w:t>
      </w:r>
    </w:p>
    <w:p>
      <w:pPr>
        <w:spacing w:after="0" w:line="38" w:lineRule="exact"/>
        <w:rPr>
          <w:sz w:val="20"/>
          <w:szCs w:val="20"/>
          <w:color w:val="auto"/>
        </w:rPr>
      </w:pPr>
    </w:p>
    <w:p>
      <w:pPr>
        <w:ind w:right="20"/>
        <w:spacing w:after="0" w:line="320" w:lineRule="auto"/>
        <w:rPr>
          <w:sz w:val="20"/>
          <w:szCs w:val="20"/>
          <w:color w:val="auto"/>
        </w:rPr>
      </w:pPr>
      <w:r>
        <w:rPr>
          <w:rFonts w:ascii="Arial" w:cs="Arial" w:eastAsia="Arial" w:hAnsi="Arial"/>
          <w:sz w:val="15"/>
          <w:szCs w:val="15"/>
          <w:color w:val="auto"/>
        </w:rPr>
        <w:t>12 months or more, a liability to make lease payments and a right-of-use asset representing the right to use the underlying asset for the lease term. Additionally, the guidance requires improved disclosures to help users of financial statements better understand the nature of an entity's leasing activities. This ASU is effective for nonpublic reporting companies for interim and annual periods beginning after December 15, 2019, with early adoption permitted, and must be adopted using a modified retrospective approach. The Company is currently assessing the impact of the adoption of this authoritative guidance on its financial statements.</w:t>
      </w:r>
    </w:p>
    <w:p>
      <w:pPr>
        <w:spacing w:after="0" w:line="15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June 2018, the FASB issued ASU No. 2018-07,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which expands the scope of Topic 718 to include share-based payment transactions for acquiring goods and services from nonemployees, except for specific exceptions. This ASU is effective for annual or any interim periods beginning after December 15, 2019. The Company is currently assessing the impact of adopting this authoritative guidance on its financial statements.</w:t>
      </w:r>
    </w:p>
    <w:p>
      <w:pPr>
        <w:spacing w:after="0" w:line="16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In May 2017, the FASB issued ASU No. 2017-09, "Compensation—Stock Compensation", which clarifies the guidance about which changes to the terms and conditions of a share-based payments award require an entity to apply modification accounting in Topic 718. This ASU is effective for annual or any interim periods beginning after December 15, 2017. The Company adopted this standard on January 1, 2018, which did not impact the consolidated financial statements as the Company has not modified the terms and conditions of any share-based payments during the year ended December 31, 2018.</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7" w:name="page218"/>
    <w:bookmarkEnd w:id="217"/>
    <w:p>
      <w:pPr>
        <w:jc w:val="center"/>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as of December 31, 2017 and 2018 consist of the following:</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69,770</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Furniture &amp; Fixtures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16,313</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12,689</w:t>
            </w:r>
          </w:p>
        </w:tc>
      </w:tr>
      <w:tr>
        <w:trPr>
          <w:trHeight w:val="210"/>
        </w:trPr>
        <w:tc>
          <w:tcPr>
            <w:tcW w:w="6100" w:type="dxa"/>
            <w:vAlign w:val="bottom"/>
          </w:tcPr>
          <w:p>
            <w:pPr>
              <w:ind w:left="180"/>
              <w:spacing w:after="0"/>
              <w:rPr>
                <w:sz w:val="20"/>
                <w:szCs w:val="20"/>
                <w:color w:val="auto"/>
              </w:rPr>
            </w:pPr>
            <w:r>
              <w:rPr>
                <w:rFonts w:ascii="Arial" w:cs="Arial" w:eastAsia="Arial" w:hAnsi="Arial"/>
                <w:sz w:val="18"/>
                <w:szCs w:val="18"/>
                <w:color w:val="auto"/>
              </w:rPr>
              <w:t>Property and equipment, at cost</w:t>
            </w: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102,264</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98,772</w:t>
            </w:r>
          </w:p>
        </w:tc>
        <w:tc>
          <w:tcPr>
            <w:tcW w:w="16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(71,928)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(74,322)</w:t>
            </w:r>
          </w:p>
        </w:tc>
      </w:tr>
      <w:tr>
        <w:trPr>
          <w:trHeight w:val="210"/>
        </w:trPr>
        <w:tc>
          <w:tcPr>
            <w:tcW w:w="6100" w:type="dxa"/>
            <w:vAlign w:val="bottom"/>
          </w:tcPr>
          <w:p>
            <w:pPr>
              <w:ind w:left="180"/>
              <w:spacing w:after="0"/>
              <w:rPr>
                <w:sz w:val="20"/>
                <w:szCs w:val="20"/>
                <w:color w:val="auto"/>
              </w:rPr>
            </w:pPr>
            <w:r>
              <w:rPr>
                <w:rFonts w:ascii="Arial" w:cs="Arial" w:eastAsia="Arial" w:hAnsi="Arial"/>
                <w:sz w:val="18"/>
                <w:szCs w:val="18"/>
                <w:color w:val="auto"/>
              </w:rPr>
              <w:t>Property and equipment—net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30,336</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24,450</w:t>
            </w:r>
          </w:p>
        </w:tc>
        <w:tc>
          <w:tcPr>
            <w:tcW w:w="16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Depreciation expense for years ended December 31, 2017 and 2018 was $7,932 and $8,316,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Company's financial instruments consist of accounts payable. The carrying amount of accounts payable is considered a reasonable estimate of fair value due to the short-term maturity.</w:t>
      </w:r>
    </w:p>
    <w:p>
      <w:pPr>
        <w:spacing w:after="0" w:line="186"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accounting standard for fair value measurements provides a framework for measuring fair value and requires expanded disclosures regarding fair value measurements. Fair value is defined as the proceeds that would be received for an asset or the exit price that would be paid to transfer a liability in the principal or most advantageous market in an orderly transaction between market participants on the measurement date.</w:t>
      </w:r>
    </w:p>
    <w:p>
      <w:pPr>
        <w:spacing w:after="0" w:line="161" w:lineRule="exact"/>
        <w:rPr>
          <w:sz w:val="20"/>
          <w:szCs w:val="20"/>
          <w:color w:val="auto"/>
        </w:rPr>
      </w:pPr>
    </w:p>
    <w:p>
      <w:pPr>
        <w:ind w:right="80" w:firstLine="341"/>
        <w:spacing w:after="0" w:line="298" w:lineRule="auto"/>
        <w:rPr>
          <w:sz w:val="20"/>
          <w:szCs w:val="20"/>
          <w:color w:val="auto"/>
        </w:rPr>
      </w:pPr>
      <w:r>
        <w:rPr>
          <w:rFonts w:ascii="Arial" w:cs="Arial" w:eastAsia="Arial" w:hAnsi="Arial"/>
          <w:sz w:val="16"/>
          <w:szCs w:val="16"/>
          <w:color w:val="auto"/>
        </w:rPr>
        <w:t>All fair value measurements are classified in the three-tier fair value hierarchy, which categorizes the inputs used in measuring fair value. These categories include (in descending order of priority) Level 1, defined as observable inputs, such as quoted prices in active markets for identical securities; Level 2, defined as inputs other than quoted prices included in Level 1 that are either directly or indirectly observable; and Level 3, defined as significant unobservable inputs in which little or no market data exists, therefore, requiring an entity to develop its own assumptions.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at December 31, 2017 and 2018 consist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720" w:type="dxa"/>
            <w:vAlign w:val="bottom"/>
            <w:gridSpan w:val="6"/>
          </w:tcPr>
          <w:p>
            <w:pPr>
              <w:ind w:left="4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17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10"/>
        </w:trPr>
        <w:tc>
          <w:tcPr>
            <w:tcW w:w="17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33,886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80,771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717,218</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624,298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1,817,292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2,178,086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Other</w:t>
            </w: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70,804</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245,617</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accrued expenses</w:t>
            </w: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2,639,200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3,128,772</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100" w:type="dxa"/>
            <w:vAlign w:val="bottom"/>
            <w:gridSpan w:val="2"/>
          </w:tcPr>
          <w:p>
            <w:pPr>
              <w:jc w:val="right"/>
              <w:ind w:right="1732"/>
              <w:spacing w:after="0"/>
              <w:rPr>
                <w:sz w:val="20"/>
                <w:szCs w:val="20"/>
                <w:color w:val="auto"/>
              </w:rPr>
            </w:pPr>
            <w:r>
              <w:rPr>
                <w:rFonts w:ascii="Arial" w:cs="Arial" w:eastAsia="Arial" w:hAnsi="Arial"/>
                <w:sz w:val="18"/>
                <w:szCs w:val="18"/>
                <w:color w:val="auto"/>
              </w:rPr>
              <w:t>F-18</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18" w:name="page219"/>
    <w:bookmarkEnd w:id="218"/>
    <w:p>
      <w:pPr>
        <w:jc w:val="center"/>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w:t>
      </w:r>
    </w:p>
    <w:p>
      <w:pPr>
        <w:spacing w:after="0" w:line="225" w:lineRule="exact"/>
        <w:rPr>
          <w:sz w:val="20"/>
          <w:szCs w:val="20"/>
          <w:color w:val="auto"/>
        </w:rPr>
      </w:pPr>
    </w:p>
    <w:p>
      <w:pPr>
        <w:ind w:right="160" w:firstLine="351"/>
        <w:spacing w:after="0" w:line="258" w:lineRule="auto"/>
        <w:rPr>
          <w:sz w:val="20"/>
          <w:szCs w:val="20"/>
          <w:color w:val="auto"/>
        </w:rPr>
      </w:pPr>
      <w:r>
        <w:rPr>
          <w:rFonts w:ascii="Arial" w:cs="Arial" w:eastAsia="Arial" w:hAnsi="Arial"/>
          <w:sz w:val="18"/>
          <w:szCs w:val="18"/>
          <w:b w:val="1"/>
          <w:bCs w:val="1"/>
          <w:color w:val="auto"/>
        </w:rPr>
        <w:t>Operating leases</w:t>
      </w:r>
      <w:r>
        <w:rPr>
          <w:rFonts w:ascii="Arial" w:cs="Arial" w:eastAsia="Arial" w:hAnsi="Arial"/>
          <w:sz w:val="18"/>
          <w:szCs w:val="18"/>
          <w:color w:val="auto"/>
        </w:rPr>
        <w:t>—In August 2016, the Company entered into an operating lease for office in Boston, Massachusetts that expires in December 2021.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leased office space in Solna, Sweden under an annual operating lease that expired on June 30, 2019. Additionally, the Company entered into a new operating lease for office and laboratory space in Solna, Sweden that is effective July 1, 2019 and expires in June 2022. Base rent for this lease is approximately $125,000 annually.</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Rent expense for the years ended December 31, 2017 and 2018 was $242,263 and $263,518, respectively.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Future minimum lease payments as of December 31, 2018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121,635</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2020</w:t>
            </w:r>
          </w:p>
        </w:tc>
        <w:tc>
          <w:tcPr>
            <w:tcW w:w="2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123,930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126,225</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371,790</w:t>
            </w: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7. Income taxes</w:t>
            </w: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820" w:type="dxa"/>
            <w:vAlign w:val="bottom"/>
            <w:gridSpan w:val="3"/>
            <w:vMerge w:val="continue"/>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20" w:type="dxa"/>
            <w:vAlign w:val="bottom"/>
            <w:gridSpan w:val="3"/>
          </w:tcPr>
          <w:p>
            <w:pPr>
              <w:ind w:left="360"/>
              <w:spacing w:after="0"/>
              <w:rPr>
                <w:sz w:val="20"/>
                <w:szCs w:val="20"/>
                <w:color w:val="auto"/>
              </w:rPr>
            </w:pPr>
            <w:r>
              <w:rPr>
                <w:rFonts w:ascii="Arial" w:cs="Arial" w:eastAsia="Arial" w:hAnsi="Arial"/>
                <w:sz w:val="18"/>
                <w:szCs w:val="18"/>
                <w:color w:val="auto"/>
              </w:rPr>
              <w:t>Components of the net loss consist of the following:</w:t>
            </w: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gridSpan w:val="8"/>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(15,185,931)</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4"/>
              </w:rPr>
              <w:t>(15,713,032)</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Domestic</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(4,319)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184,763</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4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(15,190,250)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4"/>
              </w:rPr>
              <w:t>(15,528,269)</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effect of applying the federal statutory rate to the net loss and the effective income tax rate: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368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w w:val="92"/>
              </w:rPr>
              <w:t>Earnings in jurisdictions taxed at rates different from the statutory U.S. federal tax</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6020" w:type="dxa"/>
            <w:vAlign w:val="bottom"/>
          </w:tcPr>
          <w:p>
            <w:pPr>
              <w:ind w:left="180"/>
              <w:spacing w:after="0"/>
              <w:rPr>
                <w:sz w:val="20"/>
                <w:szCs w:val="20"/>
                <w:color w:val="auto"/>
              </w:rPr>
            </w:pPr>
            <w:r>
              <w:rPr>
                <w:rFonts w:ascii="Arial" w:cs="Arial" w:eastAsia="Arial" w:hAnsi="Arial"/>
                <w:sz w:val="18"/>
                <w:szCs w:val="18"/>
                <w:color w:val="auto"/>
              </w:rPr>
              <w:t>rate</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Changes in valuation allowance</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Rate change due to TCJA</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Rate change due to Swedish tax reform</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020" w:type="dxa"/>
            <w:vAlign w:val="bottom"/>
            <w:vMerge w:val="restart"/>
          </w:tcPr>
          <w:p>
            <w:pPr>
              <w:ind w:left="3820"/>
              <w:spacing w:after="0"/>
              <w:rPr>
                <w:sz w:val="20"/>
                <w:szCs w:val="20"/>
                <w:color w:val="auto"/>
              </w:rPr>
            </w:pPr>
            <w:r>
              <w:rPr>
                <w:rFonts w:ascii="Arial" w:cs="Arial" w:eastAsia="Arial" w:hAnsi="Arial"/>
                <w:sz w:val="18"/>
                <w:szCs w:val="18"/>
                <w:color w:val="auto"/>
              </w:rPr>
              <w:t>F-19</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602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60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9" w:name="page220"/>
    <w:bookmarkEnd w:id="219"/>
    <w:p>
      <w:pPr>
        <w:jc w:val="center"/>
        <w:ind w:right="-19"/>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Significant components of the Company's deferred taxes as of December 31, 2017 and 2018 are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Net operating loss carryforward</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11,108,800</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12,816,395</w:t>
            </w: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Capitalized research and development</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1,951</w:t>
            </w:r>
          </w:p>
        </w:tc>
      </w:tr>
      <w:tr>
        <w:trPr>
          <w:trHeight w:val="210"/>
        </w:trPr>
        <w:tc>
          <w:tcPr>
            <w:tcW w:w="4200" w:type="dxa"/>
            <w:vAlign w:val="bottom"/>
          </w:tcPr>
          <w:p>
            <w:pPr>
              <w:spacing w:after="0"/>
              <w:rPr>
                <w:sz w:val="20"/>
                <w:szCs w:val="20"/>
                <w:color w:val="auto"/>
              </w:rPr>
            </w:pPr>
            <w:r>
              <w:rPr>
                <w:rFonts w:ascii="Arial" w:cs="Arial" w:eastAsia="Arial" w:hAnsi="Arial"/>
                <w:sz w:val="18"/>
                <w:szCs w:val="18"/>
                <w:color w:val="auto"/>
              </w:rPr>
              <w:t>Gross deferred tax assets</w:t>
            </w:r>
          </w:p>
        </w:tc>
        <w:tc>
          <w:tcPr>
            <w:tcW w:w="1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11,114,494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12,818,346</w:t>
            </w:r>
          </w:p>
        </w:tc>
        <w:tc>
          <w:tcPr>
            <w:tcW w:w="16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(11,053,983)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(12,661,874)</w:t>
            </w:r>
          </w:p>
        </w:tc>
      </w:tr>
      <w:tr>
        <w:trPr>
          <w:trHeight w:val="210"/>
        </w:trPr>
        <w:tc>
          <w:tcPr>
            <w:tcW w:w="420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1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156,472</w:t>
            </w:r>
          </w:p>
        </w:tc>
        <w:tc>
          <w:tcPr>
            <w:tcW w:w="16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Fixed assets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(2,297)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(2,050)</w:t>
            </w: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Compensation</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(58,214)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(154,422)</w:t>
            </w:r>
          </w:p>
        </w:tc>
      </w:tr>
      <w:tr>
        <w:trPr>
          <w:trHeight w:val="210"/>
        </w:trPr>
        <w:tc>
          <w:tcPr>
            <w:tcW w:w="420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13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(156,472)</w:t>
            </w:r>
          </w:p>
        </w:tc>
        <w:tc>
          <w:tcPr>
            <w:tcW w:w="160" w:type="dxa"/>
            <w:vAlign w:val="bottom"/>
          </w:tcPr>
          <w:p>
            <w:pPr>
              <w:spacing w:after="0"/>
              <w:rPr>
                <w:sz w:val="18"/>
                <w:szCs w:val="18"/>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 (liabilities)</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4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 has no income tax expense due to operating losses incurred for the years ended December 31, 2017 and 2018. The Company has provided a valuation allowance for the full amount of the net deferred tax assets as, based on all available evidence, it is considered more likely than not that all the recorded deferred tax assets will not be realized in a future period. At December 31, 2018, the Company has $61.6 million, $0.5 million and $0.4 million of foreign, federal and state net operating loss carryforwards, respectively, that expire at various dates through 2036. Certain of these foreign, federal and state net operating loss carryforwards may be subject to Internal Revenue Code Section 382 or similar provisions, which impose limitations on their utilization.</w:t>
      </w:r>
    </w:p>
    <w:p>
      <w:pPr>
        <w:spacing w:after="0" w:line="170"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valuation allowance increased in 2018 by $2.5 million, due to the increase in the deferred tax assets by the same amounts; primarily due to net operating loss carryforwards. Realization of the future tax benefits is dependent on many factors, including the Company's ability to generate taxable income within the net operating loss carryforward period. Under the provisions of the U.S. Internal Revenue Code and Sweden tax law, certain changes in the Company's ownership, including a sale of the Company or significant changes in ownership due to sales of equity, may have limited, or may limit in the future, the amount of net operating loss carryforwards that could be used annually to offset future taxable income. For U.S. and Swedish income tax purposes, the Company has not completed a study to assess whether a change of control has occurred or whether there have been changes of control since the Company's formation due to the complexity and cost associated with such study and because there could be additional changes in control in the future. As a result, the Company is not able to estimate the effect of the change in control, if any, on the Company's ability to utilize U.S. or Swedish net operating losses or other tax attribute carryforwards the future. For Swedish income tax purposes, the Company has estimated that approximately $12.5 million of its net operating losses may be subject to limitations in accordance with the country's group contribution restriction laws.</w:t>
      </w:r>
    </w:p>
    <w:p>
      <w:pPr>
        <w:spacing w:after="0" w:line="177"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Company files tax returns in Sweden, the United States, Pennsylvania and Massachusetts, and all tax years since inception remain open to examination by the major taxing jurisdictions to which the Company is subject, as carryforward attributes generated in years past may still be adjusted upon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20" w:name="page221"/>
    <w:bookmarkEnd w:id="220"/>
    <w:p>
      <w:pPr>
        <w:jc w:val="center"/>
        <w:ind w:right="-19"/>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 (continued)</w:t>
      </w:r>
    </w:p>
    <w:p>
      <w:pPr>
        <w:spacing w:after="0" w:line="23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examination by the Internal Revenue Service (IRS) or other authorities if they have or will be used in a future period. The Company is not currently under examination by the IRS or any other jurisdictions for any tax years.</w:t>
      </w:r>
    </w:p>
    <w:p>
      <w:pPr>
        <w:spacing w:after="0" w:line="186" w:lineRule="exact"/>
        <w:rPr>
          <w:sz w:val="20"/>
          <w:szCs w:val="20"/>
          <w:color w:val="auto"/>
        </w:rPr>
      </w:pPr>
    </w:p>
    <w:p>
      <w:pPr>
        <w:ind w:right="200" w:firstLine="341"/>
        <w:spacing w:after="0" w:line="332" w:lineRule="auto"/>
        <w:rPr>
          <w:sz w:val="20"/>
          <w:szCs w:val="20"/>
          <w:color w:val="auto"/>
        </w:rPr>
      </w:pPr>
      <w:r>
        <w:rPr>
          <w:rFonts w:ascii="Arial" w:cs="Arial" w:eastAsia="Arial" w:hAnsi="Arial"/>
          <w:sz w:val="16"/>
          <w:szCs w:val="16"/>
          <w:color w:val="auto"/>
        </w:rPr>
        <w:t>As of December 31, 2018, the Company had no uncertain tax positions. The Company has elected to recognize interest and penalties related to income tax matters as a component of income tax expense, of which no interest or penalties were recorded for the years ended December 31, 2017 and 2018.</w:t>
      </w:r>
    </w:p>
    <w:p>
      <w:pPr>
        <w:spacing w:after="0" w:line="139" w:lineRule="exact"/>
        <w:rPr>
          <w:sz w:val="20"/>
          <w:szCs w:val="20"/>
          <w:color w:val="auto"/>
        </w:rPr>
      </w:pPr>
    </w:p>
    <w:p>
      <w:pPr>
        <w:ind w:right="380" w:firstLine="351"/>
        <w:spacing w:after="0" w:line="305" w:lineRule="auto"/>
        <w:rPr>
          <w:sz w:val="20"/>
          <w:szCs w:val="20"/>
          <w:color w:val="auto"/>
        </w:rPr>
      </w:pPr>
      <w:r>
        <w:rPr>
          <w:rFonts w:ascii="Arial" w:cs="Arial" w:eastAsia="Arial" w:hAnsi="Arial"/>
          <w:sz w:val="15"/>
          <w:szCs w:val="15"/>
          <w:color w:val="auto"/>
        </w:rPr>
        <w:t>In June 2018, Sweden promulgated changes to the Swedish regulations on corporate income taxation. The law will apply from January 1, 2019. Among other things, the changes decrease the corporate income tax rate in two steps from 22% to 21.4% as of January 1, 2019 and 20.6% as of January 1, 2020.</w:t>
      </w:r>
    </w:p>
    <w:p>
      <w:pPr>
        <w:ind w:right="60"/>
        <w:spacing w:after="0" w:line="302" w:lineRule="auto"/>
        <w:rPr>
          <w:sz w:val="20"/>
          <w:szCs w:val="20"/>
          <w:color w:val="auto"/>
        </w:rPr>
      </w:pPr>
      <w:r>
        <w:rPr>
          <w:rFonts w:ascii="Arial" w:cs="Arial" w:eastAsia="Arial" w:hAnsi="Arial"/>
          <w:sz w:val="16"/>
          <w:szCs w:val="16"/>
          <w:color w:val="auto"/>
        </w:rPr>
        <w:t>U.S. GAAP requires companies to revalue their deferred tax assets and deferred tax liabilities as of the date of enactment, with the resulting tax effects accounted for in the reporting period of enactment. This revaluation resulted in an overall reduction of deferred taxes of $0.7 million and a corresponding reduction in the valuation allowance. As such, there was no net impact to the Company's statement of operations as a result of the reduction in tax rates.</w:t>
      </w:r>
    </w:p>
    <w:p>
      <w:pPr>
        <w:spacing w:after="0" w:line="163"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December 2017, what is commonly known as the Tax Cuts and Jobs Act (the Tax Act), was signed into law. Among other things, the Tax Act permanently lowers the corporate federal income tax rate to 21% from the statutory rate of 35%, effective for tax years including or commencing January 1, 2018. As a result of the reduction of the corporate federal income tax rate to 21%, U.S. GAAP requires companies to revalue their deferred tax assets and deferred tax liabilities as of the date of enactment, with the resulting tax effects accounted for in the reporting period of enactment. This revaluation resulted in an overall reduction of deferred taxes of $0.1 million and a corresponding reduction in the valuation allowance. As such, there was no net impact to the Company's statement of operations as a result of the reduction in tax rates.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preferred stock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has 20,000,000 shares authorized for all classes of equity combined.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w:t>
      </w:r>
    </w:p>
    <w:p>
      <w:pPr>
        <w:spacing w:after="0" w:line="225" w:lineRule="exact"/>
        <w:rPr>
          <w:sz w:val="20"/>
          <w:szCs w:val="20"/>
          <w:color w:val="auto"/>
        </w:rPr>
      </w:pPr>
    </w:p>
    <w:p>
      <w:pPr>
        <w:jc w:val="both"/>
        <w:ind w:right="400" w:firstLine="351"/>
        <w:spacing w:after="0" w:line="259" w:lineRule="auto"/>
        <w:rPr>
          <w:sz w:val="20"/>
          <w:szCs w:val="20"/>
          <w:color w:val="auto"/>
        </w:rPr>
      </w:pPr>
      <w:r>
        <w:rPr>
          <w:rFonts w:ascii="Arial" w:cs="Arial" w:eastAsia="Arial" w:hAnsi="Arial"/>
          <w:sz w:val="18"/>
          <w:szCs w:val="18"/>
          <w:color w:val="auto"/>
        </w:rPr>
        <w:t>In June 2011, the Company issued 145,469 shares of Series A Preferred for gross proceeds of $3,233,417. In March 2016, the Company issued 466,977 shares of Series A Preferred as settlement of its outstanding bridge loans totaling $3,249,627. All 612,446 shares of Series A Preferred were issued to related parties.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2018, the rights and preferences of the Series A Preferred are as follows:</w:t>
      </w:r>
    </w:p>
    <w:p>
      <w:pPr>
        <w:spacing w:after="0" w:line="225"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b w:val="1"/>
          <w:bCs w:val="1"/>
          <w:i w:val="1"/>
          <w:iCs w:val="1"/>
          <w:color w:val="auto"/>
        </w:rPr>
        <w:t>Conversion</w:t>
      </w:r>
      <w:r>
        <w:rPr>
          <w:rFonts w:ascii="Arial" w:cs="Arial" w:eastAsia="Arial" w:hAnsi="Arial"/>
          <w:sz w:val="18"/>
          <w:szCs w:val="18"/>
          <w:color w:val="auto"/>
        </w:rPr>
        <w:t>—Each share of Series A Preferred may be converted at any time, at the option of the holder, into a share of common stock. The Series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automatically converts into shares of common stock when 1) shareholders representing a majority of the outstanding preferred shares calls for such conversion or 2) at the closing of an initial public offering of the Company's common stock at a per share price of at least one and a half (1.5) times the average amount (EUR 16.05 based on all Series C preferred shares issued as of December 31, 2018) paid per Series C preferred share (as adjusted for share splits and similar) and aggregate proceeds in excess of EUR 50,000,000.</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21" w:name="page222"/>
    <w:bookmarkEnd w:id="221"/>
    <w:p>
      <w:pPr>
        <w:jc w:val="center"/>
        <w:ind w:right="-19"/>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preferred stock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—Holders of Series A Preferred do not accrue dividends.</w:t>
      </w:r>
    </w:p>
    <w:p>
      <w:pPr>
        <w:spacing w:after="0" w:line="225" w:lineRule="exact"/>
        <w:rPr>
          <w:sz w:val="20"/>
          <w:szCs w:val="20"/>
          <w:color w:val="auto"/>
        </w:rPr>
      </w:pPr>
    </w:p>
    <w:p>
      <w:pPr>
        <w:jc w:val="both"/>
        <w:ind w:right="220" w:firstLine="351"/>
        <w:spacing w:after="0" w:line="306" w:lineRule="auto"/>
        <w:rPr>
          <w:sz w:val="20"/>
          <w:szCs w:val="20"/>
          <w:color w:val="auto"/>
        </w:rPr>
      </w:pPr>
      <w:r>
        <w:rPr>
          <w:rFonts w:ascii="Arial" w:cs="Arial" w:eastAsia="Arial" w:hAnsi="Arial"/>
          <w:sz w:val="16"/>
          <w:szCs w:val="16"/>
          <w:b w:val="1"/>
          <w:bCs w:val="1"/>
          <w:i w:val="1"/>
          <w:iCs w:val="1"/>
          <w:color w:val="auto"/>
        </w:rPr>
        <w:t>Voting rights</w:t>
      </w:r>
      <w:r>
        <w:rPr>
          <w:rFonts w:ascii="Arial" w:cs="Arial" w:eastAsia="Arial" w:hAnsi="Arial"/>
          <w:sz w:val="16"/>
          <w:szCs w:val="16"/>
          <w:color w:val="auto"/>
        </w:rPr>
        <w:t>—Preferred Stock and common stock vote together as one class on an as converted basis. Common stock voting rights on certain matters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the powers, preferences, and rights of the Preferred Stock. Holders are entitled to vote on all matters and shall have the number of votes equal to the number of shares of common stock into which the shares of Preferred Stock held by such holder are then convertible.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Preferred</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March 2016, the Company issued 3,322,762 shares of Series B Preferred for gross proceeds of $22,609,485, or $22,290,261 net of issuance costs. The Company also issued 590,445 shares of Series B Preferred in settlement of its outstanding bridge loans totaling $4,108,818. In October 2017, the Company issued 3,322,762 Series B preferred shares at a price per share of $7.02, for an aggregate purchase price of $23,349,617. All 7,235,969 shares of Series B Preferred were issued to related parties.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2018, the rights and preferences of the Series B Preferred are as follows:</w:t>
      </w:r>
    </w:p>
    <w:p>
      <w:pPr>
        <w:spacing w:after="0" w:line="225"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b w:val="1"/>
          <w:bCs w:val="1"/>
          <w:i w:val="1"/>
          <w:iCs w:val="1"/>
          <w:color w:val="auto"/>
        </w:rPr>
        <w:t>Conversion</w:t>
      </w:r>
      <w:r>
        <w:rPr>
          <w:rFonts w:ascii="Arial" w:cs="Arial" w:eastAsia="Arial" w:hAnsi="Arial"/>
          <w:sz w:val="18"/>
          <w:szCs w:val="18"/>
          <w:color w:val="auto"/>
        </w:rPr>
        <w:t>—Each share of Series B Preferred may be converted at any time, at the option of the holder, into a share of common stock. The Series 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automatically converts into shares of common stock when 1) shareholders representing a majority of the outstanding preferred shares calls for such conversion or 2) at the closing of an initial public offering of the Company's common stock at a per share price of at least one and a half (1.5) times the average amount (EUR 16.05 based on all Series C preferred shares issued as of December 31, 2018) paid per Series C preferred share (as adjusted for share splits and similar) and aggregate proceeds in excess of EUR 50,000,000.</w:t>
      </w:r>
    </w:p>
    <w:p>
      <w:pPr>
        <w:spacing w:after="0" w:line="197"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—Holders are entitled to dividends of 8%, compounded annually if not paid. No dividends have been declared or paid as of December 31,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not accrued dividends on the Series B Preferred since dividends are only payable upon the occurrence of a liquidation event, including the transfer of more than fifty percent of the Company's outstanding shares or the transfer of substantially all of the Company's intellectual property. Approximately $8,806,426 of accrued dividends that were payable through December 31, 2018 was added to the stated liquidation preference amount of the Series B Preferred, which totaled $58,874,347 at December 31, 2018.</w:t>
      </w:r>
    </w:p>
    <w:p>
      <w:pPr>
        <w:spacing w:after="0" w:line="197" w:lineRule="exact"/>
        <w:rPr>
          <w:sz w:val="20"/>
          <w:szCs w:val="20"/>
          <w:color w:val="auto"/>
        </w:rPr>
      </w:pPr>
    </w:p>
    <w:p>
      <w:pPr>
        <w:jc w:val="both"/>
        <w:ind w:right="220" w:firstLine="351"/>
        <w:spacing w:after="0" w:line="306" w:lineRule="auto"/>
        <w:rPr>
          <w:sz w:val="20"/>
          <w:szCs w:val="20"/>
          <w:color w:val="auto"/>
        </w:rPr>
      </w:pPr>
      <w:r>
        <w:rPr>
          <w:rFonts w:ascii="Arial" w:cs="Arial" w:eastAsia="Arial" w:hAnsi="Arial"/>
          <w:sz w:val="16"/>
          <w:szCs w:val="16"/>
          <w:b w:val="1"/>
          <w:bCs w:val="1"/>
          <w:i w:val="1"/>
          <w:iCs w:val="1"/>
          <w:color w:val="auto"/>
        </w:rPr>
        <w:t>Voting rights</w:t>
      </w:r>
      <w:r>
        <w:rPr>
          <w:rFonts w:ascii="Arial" w:cs="Arial" w:eastAsia="Arial" w:hAnsi="Arial"/>
          <w:sz w:val="16"/>
          <w:szCs w:val="16"/>
          <w:color w:val="auto"/>
        </w:rPr>
        <w:t>—Preferred Stock and common stock vote together as one class on an as converted basis. Common stock voting rights on certain matters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the powers, preferences, and rights of the Preferred Stock. Holders are entitled to vote on all matters and shall have the number of votes equal to the number of shares of common stock into which the shares of Preferred Stock held by such holder are then convertible.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Preferred</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 November 2018, the Company issued 4,712,698 shares of Series C Preferred for gross proceeds of $56,725,342 or $56,364,645 net of issuance costs. A total of 4,219,849 shares of Series C Preferred were issued to related parties.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22" w:name="page223"/>
    <w:bookmarkEnd w:id="222"/>
    <w:p>
      <w:pPr>
        <w:jc w:val="center"/>
        <w:ind w:right="-159"/>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preferred stock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2018, the rights and preferences of the Series C Preferred are as follows:</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b w:val="1"/>
          <w:bCs w:val="1"/>
          <w:i w:val="1"/>
          <w:iCs w:val="1"/>
          <w:color w:val="auto"/>
        </w:rPr>
        <w:t>Conversion</w:t>
      </w:r>
      <w:r>
        <w:rPr>
          <w:rFonts w:ascii="Arial" w:cs="Arial" w:eastAsia="Arial" w:hAnsi="Arial"/>
          <w:sz w:val="16"/>
          <w:szCs w:val="16"/>
          <w:color w:val="auto"/>
        </w:rPr>
        <w:t>—Each share of Series C Preferred may be converted at any time, at the option of the holder, into a share of common stock. The Series 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Preferred automatically converts into shares of common stock when 1) shareholders representing a majority of the outstanding preferred shares calls for such conversion or 2) at the closing of an initial public offering of the Company's common stock at a per share price of at least one and a half (1.5) times the average amount (EUR 16.05 based on all Series C preferred shares issued as of December 31, 2018) paid per Series C preferred share (as adjusted for share splits and similar) and aggregate proceeds in excess of EUR 50,000,000.</w:t>
      </w:r>
    </w:p>
    <w:p>
      <w:pPr>
        <w:spacing w:after="0" w:line="170"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—Holders are entitled to dividends of 8%, compounded annually if not paid. No dividends have been declared or paid as of December 31,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not accrued dividends on the Series C Preferred since dividends are only payable upon the occurrence of a liquidation event, including the transfer of more than fifty percent of the Company's outstanding shares or the transfer of substantially all of the Company's intellectual property. Approximately $389,970 of accrued dividends that were payable through December 31, 2018 was added to the stated liquidation preference amount of the Series C Preferred, which totaled $57,115,312 at December 31, 2018.</w:t>
      </w:r>
    </w:p>
    <w:p>
      <w:pPr>
        <w:spacing w:after="0" w:line="197"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b w:val="1"/>
          <w:bCs w:val="1"/>
          <w:i w:val="1"/>
          <w:iCs w:val="1"/>
          <w:color w:val="auto"/>
        </w:rPr>
        <w:t>Voting rights</w:t>
      </w:r>
      <w:r>
        <w:rPr>
          <w:rFonts w:ascii="Arial" w:cs="Arial" w:eastAsia="Arial" w:hAnsi="Arial"/>
          <w:sz w:val="16"/>
          <w:szCs w:val="16"/>
          <w:color w:val="auto"/>
        </w:rPr>
        <w:t>—Preferred Stock and common stock vote together as one class on an as converted basis. Common stock voting rights on certain matters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the powers, preferences, and rights of the Preferred Stock. Holders are entitled to vote on all matters and shall have the number of votes equal to the number of shares of common stock into which the shares of Preferred Stock held by such holder are then convertible.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Upon liquidation, dissolution, or winding up of business, the Preferred Stock holders are entitled to receive a liquidation preference in priority to holders of common stock at the original issue price plus, in the case of Series B and Series C Preferred, any unpaid accumulated dividends as follows:</w:t>
      </w:r>
    </w:p>
    <w:p>
      <w:pPr>
        <w:spacing w:after="0" w:line="153" w:lineRule="exact"/>
        <w:rPr>
          <w:sz w:val="20"/>
          <w:szCs w:val="20"/>
          <w:color w:val="auto"/>
        </w:rPr>
      </w:pPr>
    </w:p>
    <w:p>
      <w:pPr>
        <w:ind w:left="540" w:right="20" w:hanging="532"/>
        <w:spacing w:after="0" w:line="289" w:lineRule="auto"/>
        <w:tabs>
          <w:tab w:leader="none" w:pos="5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If a liquidation event occurs prior to the Company achieving a certain clinical milestone, Series C Preferred shareholders shall receive an amount per Series C Preferred share equal to the original subscription price per Series C Preferred share (as adjusted for share splits and similar) plus unpaid accumulated dividends. Secondly, after the Series C Preferred shareholders have received full payment, the Series B Preferred shareholders shall receive an amount per Series B preferred share equal to the original subscription price per Series B Preferred share (as adjusted for share splits and similar) plus unpaid accumulated dividends. Thirdly, after the Series B and C Preferred shareholders have received full payment, the Series A Preferred shareholders shall receive an amount per Series A preferred share equal to the original subscription price per Series A Preferred share (as adjusted for share splits and similar). When the Preferred A, B and C shareholders are satisfied in full, any excess assets available for distribution will be allocated ratably among holders of common stock and preferred stock based on their pro rata shareholdings on an as-if-converted basis.</w:t>
      </w:r>
    </w:p>
    <w:p>
      <w:pPr>
        <w:spacing w:after="0" w:line="199" w:lineRule="exact"/>
        <w:rPr>
          <w:rFonts w:ascii="Arial" w:cs="Arial" w:eastAsia="Arial" w:hAnsi="Arial"/>
          <w:sz w:val="16"/>
          <w:szCs w:val="16"/>
          <w:color w:val="auto"/>
        </w:rPr>
      </w:pPr>
    </w:p>
    <w:p>
      <w:pPr>
        <w:ind w:left="540" w:right="60" w:hanging="532"/>
        <w:spacing w:after="0" w:line="259" w:lineRule="auto"/>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a liquidation event occurs after the Company achieves a certain clinical milestone, Series B and C Preferred shareholders, based on their pro rata shareholdings, shall receive an amount per Series B and C Preferred share equal to the original subscription price per Series B and C Preferred share (as adjusted for share splits and similar) plus unpaid accumulated dividends.</w:t>
      </w:r>
    </w:p>
    <w:p>
      <w:pPr>
        <w:spacing w:after="0" w:line="1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223" w:name="page224"/>
    <w:bookmarkEnd w:id="223"/>
    <w:p>
      <w:pPr>
        <w:jc w:val="center"/>
        <w:ind w:right="-19"/>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preferred stock (continued)</w:t>
      </w:r>
    </w:p>
    <w:p>
      <w:pPr>
        <w:spacing w:after="0" w:line="231" w:lineRule="exact"/>
        <w:rPr>
          <w:sz w:val="20"/>
          <w:szCs w:val="20"/>
          <w:color w:val="auto"/>
        </w:rPr>
      </w:pPr>
    </w:p>
    <w:p>
      <w:pPr>
        <w:ind w:left="540" w:right="100"/>
        <w:spacing w:after="0" w:line="298" w:lineRule="auto"/>
        <w:rPr>
          <w:sz w:val="20"/>
          <w:szCs w:val="20"/>
          <w:color w:val="auto"/>
        </w:rPr>
      </w:pPr>
      <w:r>
        <w:rPr>
          <w:rFonts w:ascii="Arial" w:cs="Arial" w:eastAsia="Arial" w:hAnsi="Arial"/>
          <w:sz w:val="16"/>
          <w:szCs w:val="16"/>
          <w:color w:val="auto"/>
        </w:rPr>
        <w:t>Secondly, after the Series B and C Preferred shareholders have received full payment, the Series A Preferred shareholders shall receive an amount per Series A preferred share equal to the original subscription price per Series A Preferred share (as adjusted for share splits and similar). When the Preferred A, B and C shareholders are satisfied in full, any excess assets available for distribution will be allocated ratably among holders of common stock and preferred stock based on their pro rata shareholdings on an as-if-converted basis.</w:t>
      </w:r>
    </w:p>
    <w:p>
      <w:pPr>
        <w:spacing w:after="0" w:line="167"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liquidation preferences apply to each series of preferred stock only to the extent the holders would receive less than three times their respective original purchase prices.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stock</w:t>
      </w:r>
    </w:p>
    <w:p>
      <w:pPr>
        <w:spacing w:after="0" w:line="231"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The Company has 1,155,366 shares of common stock outstanding as of December 31, 2018. During 2018, the Company issued 2,305 shares of common stock to employees for aggregate consideration of $2,097 as a result of stock option exercises. No common stock was issued during 2017.</w:t>
      </w:r>
    </w:p>
    <w:p>
      <w:pPr>
        <w:spacing w:after="0" w:line="139"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The holders of common stock are entitled to one vote for each share of common stock. Subject to the payment in full of all preferential dividends to which the holders of the Preferred Stock are entitled, the holders of common stock shall be entitled to receive dividends out of funds legally available. In the event of any voluntary or involuntary liquidation, dissolution or winding up of the Company, after the payment or provision for payment of all debts and liabilities of the Company and all preferential amounts to which the holders of Preferred Stock are entitled with respect to the distribution of assets in liquidation, the holders of common stock shall be entitled to share ratably in the remaining assets of the Company available for distribution.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option plan</w:t>
      </w:r>
    </w:p>
    <w:p>
      <w:pPr>
        <w:spacing w:after="0" w:line="23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 October 2016, the Board of Directors adopted the 2016 Amended and Restated Stock Option Program (the "Plan"), which provided for the grant of stock options to the Company's employees, officers, directors, and outside consultants for the purchase of up to 1,224,824 shares of the Company's common stock. During 2017, the Plan was amended to provide up to 1,946,849 shares of the Company's common stock. During 2018, the Plan was further amended to provide up to 3,069,999 shares of the Company's common stock. Holders of stock options shall be entitled to exercise the vested portion of the stock option provided that a trade sale, as defined in the plan, or initial public offering has occurred. The holders of stock options may also exercise the vested portion of the stock option within six months of termination of employment.</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Stock options generally vest over a four-year period and expire in October 2026. The Board of Directors has the discretion to provide for accelerated vesting.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there were 1,487,466 shares available for future grant under the Plan.</w:t>
      </w:r>
    </w:p>
    <w:p>
      <w:pPr>
        <w:spacing w:after="0" w:line="219"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Company recorded stock-based compensation expense of $395,440 and $329,814 during the years ended December 31, 2017 and 2018, respectively. As of December 31, 2018, there was $386,388 of unrecognized compensation cost related to nonvested share-based compensation arrangements granted under the Plan, which is expected to be recognized over a weighted-average period of approximately 2.1 years.</w:t>
      </w:r>
    </w:p>
    <w:p>
      <w:pPr>
        <w:spacing w:after="0" w:line="16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fair value of each option award is estimated on the date of grant using Black-Scholes, with the assumptions noted in the table below. Expected volatility for the Company's common stock was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24" w:name="page225"/>
    <w:bookmarkEnd w:id="224"/>
    <w:p>
      <w:pPr>
        <w:jc w:val="center"/>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option plan (continued)</w:t>
      </w:r>
    </w:p>
    <w:p>
      <w:pPr>
        <w:spacing w:after="0" w:line="2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determined based on an average of the historical volatility of a peer group of similar public companies. The expected term of options granted to employees was calculated using the simplified method, which represents the average of the contractual term of the option and the weighted-average vesting period of the option. The Company uses the simplified method because it does not have sufficient historical option exercise data to provide a reasonable basis upon which to estimate expected term. The contractual life of the option was used for the expected life of options granted to non-employee. The assumed dividend yield is based upon the Company's expectation of not paying dividends in the foreseeable future. The risk-free rate for periods within the expected life of the option is based upon the Swedish Government Bond Rate in effect at the time of grant.</w:t>
      </w:r>
    </w:p>
    <w:p>
      <w:pPr>
        <w:spacing w:after="0" w:line="174"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In determining the exercise prices for options granted, the Company's Board of Directors has considered the fair value of the common stock as of the measurement date. The fair value of the common stock at each award grant date was based upon a variety of factors, including the results obtained from an independent third-party valuation, the Company's financial position and historical financial performance, the status of technological developments within the Company's proposed products, an evaluation or benchmark of the Company's competition, the current business climate in the marketplace, the illiquid nature of the common stock, arm's length sales of the Company's capital stock, including Preferred Stock, the effect of the rights and preferences of the preferred shareholders, and the prospects of a liquidity event, among others.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assumptions used in Black-Scholes for the years ended December 31, 2017 and 2018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800" w:type="dxa"/>
            <w:vAlign w:val="bottom"/>
            <w:gridSpan w:val="6"/>
          </w:tcPr>
          <w:p>
            <w:pPr>
              <w:ind w:left="2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17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160" w:type="dxa"/>
            <w:vAlign w:val="bottom"/>
            <w:tcBorders>
              <w:top w:val="single" w:sz="8" w:color="auto"/>
              <w:bottom w:val="single" w:sz="8" w:color="auto"/>
            </w:tcBorders>
            <w:gridSpan w:val="2"/>
          </w:tcPr>
          <w:p>
            <w:pPr>
              <w:jc w:val="right"/>
              <w:ind w:right="3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10"/>
        </w:trPr>
        <w:tc>
          <w:tcPr>
            <w:tcW w:w="17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- 75.4%</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71.5%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Risk-free rate</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620" w:type="dxa"/>
            <w:vAlign w:val="bottom"/>
          </w:tcPr>
          <w:p>
            <w:pPr>
              <w:ind w:left="20"/>
              <w:spacing w:after="0"/>
              <w:rPr>
                <w:sz w:val="20"/>
                <w:szCs w:val="20"/>
                <w:color w:val="auto"/>
              </w:rPr>
            </w:pPr>
            <w:r>
              <w:rPr>
                <w:rFonts w:ascii="Arial" w:cs="Arial" w:eastAsia="Arial" w:hAnsi="Arial"/>
                <w:sz w:val="18"/>
                <w:szCs w:val="18"/>
                <w:color w:val="auto"/>
              </w:rPr>
              <w:t>- 2.5%</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430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color w:val="auto"/>
              </w:rPr>
              <w:t>0%</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1720" w:type="dxa"/>
            <w:vAlign w:val="bottom"/>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620" w:type="dxa"/>
            <w:vAlign w:val="bottom"/>
          </w:tcPr>
          <w:p>
            <w:pPr>
              <w:ind w:left="20"/>
              <w:spacing w:after="0"/>
              <w:rPr>
                <w:sz w:val="20"/>
                <w:szCs w:val="20"/>
                <w:color w:val="auto"/>
              </w:rPr>
            </w:pPr>
            <w:r>
              <w:rPr>
                <w:rFonts w:ascii="Arial" w:cs="Arial" w:eastAsia="Arial" w:hAnsi="Arial"/>
                <w:sz w:val="18"/>
                <w:szCs w:val="18"/>
                <w:color w:val="auto"/>
              </w:rPr>
              <w:t>- 9.7</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8.2</w:t>
            </w:r>
          </w:p>
        </w:tc>
        <w:tc>
          <w:tcPr>
            <w:tcW w:w="1720" w:type="dxa"/>
            <w:vAlign w:val="bottom"/>
          </w:tcPr>
          <w:p>
            <w:pPr>
              <w:spacing w:after="0"/>
              <w:rPr>
                <w:sz w:val="19"/>
                <w:szCs w:val="19"/>
                <w:color w:val="auto"/>
              </w:rPr>
            </w:pPr>
          </w:p>
        </w:tc>
      </w:tr>
      <w:tr>
        <w:trPr>
          <w:trHeight w:val="424"/>
        </w:trPr>
        <w:tc>
          <w:tcPr>
            <w:tcW w:w="17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680" w:type="dxa"/>
            <w:vAlign w:val="bottom"/>
            <w:gridSpan w:val="2"/>
          </w:tcPr>
          <w:p>
            <w:pPr>
              <w:jc w:val="right"/>
              <w:ind w:right="2212"/>
              <w:spacing w:after="0"/>
              <w:rPr>
                <w:sz w:val="20"/>
                <w:szCs w:val="20"/>
                <w:color w:val="auto"/>
              </w:rPr>
            </w:pPr>
            <w:r>
              <w:rPr>
                <w:rFonts w:ascii="Arial" w:cs="Arial" w:eastAsia="Arial" w:hAnsi="Arial"/>
                <w:sz w:val="18"/>
                <w:szCs w:val="18"/>
                <w:color w:val="auto"/>
              </w:rPr>
              <w:t>F-25</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5" w:name="page226"/>
    <w:bookmarkEnd w:id="225"/>
    <w:p>
      <w:pPr>
        <w:jc w:val="center"/>
        <w:ind w:right="-79"/>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option plan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option activity under the Plan during the years ended December 31, 2017 and 2018 are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1"/>
              </w:rPr>
              <w:t>exercise</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9"/>
              </w:rPr>
              <w:t>Number of</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 per</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8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w:t>
            </w: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term (in years)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1,237,292</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Granted</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663,224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0.73</w:t>
            </w:r>
          </w:p>
        </w:tc>
        <w:tc>
          <w:tcPr>
            <w:tcW w:w="1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Cancelled/Forfeited</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(3,310)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0.92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1,897,206</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Granted</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Cancelled/Forfeited</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(74,779)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1,844,188</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4,382,781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2018</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gridSpan w:val="2"/>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2,807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0.92</w:t>
            </w:r>
          </w:p>
        </w:tc>
        <w:tc>
          <w:tcPr>
            <w:tcW w:w="160" w:type="dxa"/>
            <w:vAlign w:val="bottom"/>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6,388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Vested or expected to vest at December 31, 2018</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1,844,188</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0.82</w:t>
            </w:r>
          </w:p>
        </w:tc>
        <w:tc>
          <w:tcPr>
            <w:tcW w:w="1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7.6</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4,382,781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The weighted-average grant date fair value of options granted during the years ended December 31, 2017 and 2018, was $0.75 and $0.69 per share,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February 2019, the Company raised $5,645,248 in gross proceeds through the issuance of 467,179 Series C convertible preferred shares.</w:t>
      </w:r>
    </w:p>
    <w:p>
      <w:pPr>
        <w:spacing w:after="0" w:line="24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 September 20, 2019, the Company consummated a corporate reorganization, pursuant to which all of the issued and outstanding stock and options of Aprea Therapeutics AB, or Aprea AB, was exchanged for common stock, preferred stock or options, as applicable, of Aprea Therapeutics, Inc. As a result, Aprea Therapeutics AB, became a wholly-owned subsidiary of Aprea Therapeutics, Inc.</w:t>
      </w:r>
    </w:p>
    <w:p>
      <w:pPr>
        <w:spacing w:after="0" w:line="19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In September 2019, the Company's Board of Directors and stockholders approved a 1-for-1.6045 stock split of the Company's preferred and common stock. All share and per share amounts in the consolidated financial statements and notes thereto have been retroactively adjusted for all periods presented to give effect to this split.</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226" w:name="page227"/>
    <w:bookmarkEnd w:id="226"/>
    <w:p>
      <w:pPr>
        <w:jc w:val="center"/>
        <w:ind w:right="40"/>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Pro forma</w:t>
            </w: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3"/>
              </w:rPr>
              <w:t>December 31,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June 30,</w:t>
            </w:r>
          </w:p>
        </w:tc>
      </w:t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65,675,931</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60,994,738</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60,994,738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Deferred offering costs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624,624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624,624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322,146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291,991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291,991</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50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65,998,077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61,911,353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61,911,353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Right of use lease asset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277,531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277,531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50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66,022,638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62,214,654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62,214,654</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5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w w:val="99"/>
              </w:rPr>
              <w:t>Liabilities, Convertible Preferred Stock and Stockholders' Equity</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(Deficit)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1,739,337</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2,323,719</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2,323,719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3,128,772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3,260,109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3,260,109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liability—current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112,315</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50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4,868,109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5,696,143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5,696,143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liability—noncurrent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181,910</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50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4,868,109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5,878,053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5,878,053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Series A convertible preferred stock, $0.11 par value; 612,446 shares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8"/>
              </w:rPr>
              <w:t>issued and outstanding at December 31, 2018 and June 30, 2019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(liquidation preference of $6,483,044 at June 30, 2019)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6,483,044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6,483,044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w w:val="93"/>
              </w:rPr>
              <w:t>Series B convertible preferred stock, $0.11 par value; 7,235,969 shares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20"/>
              <w:spacing w:after="0"/>
              <w:rPr>
                <w:sz w:val="20"/>
                <w:szCs w:val="20"/>
                <w:color w:val="auto"/>
              </w:rPr>
            </w:pPr>
            <w:r>
              <w:rPr>
                <w:rFonts w:ascii="Arial" w:cs="Arial" w:eastAsia="Arial" w:hAnsi="Arial"/>
                <w:sz w:val="18"/>
                <w:szCs w:val="18"/>
                <w:color w:val="auto"/>
                <w:w w:val="98"/>
              </w:rPr>
              <w:t>issued and outstanding at December 31, 2018 and June 30, 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320"/>
              <w:spacing w:after="0"/>
              <w:rPr>
                <w:sz w:val="20"/>
                <w:szCs w:val="20"/>
                <w:color w:val="auto"/>
              </w:rPr>
            </w:pPr>
            <w:r>
              <w:rPr>
                <w:rFonts w:ascii="Arial" w:cs="Arial" w:eastAsia="Arial" w:hAnsi="Arial"/>
                <w:sz w:val="18"/>
                <w:szCs w:val="18"/>
                <w:color w:val="auto"/>
              </w:rPr>
              <w:t>(liquidation preference of $61,127,463 at June 30, 2019)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49,742,942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49,742,942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9"/>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Series C convertible preferred stock, $0.11 par value; 4,712,698 and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5,179,877 shares issued and outstanding at December 31, 2018 and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June 30, 2019, respectively (liquidation preference of $65,188,827 at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June 30, 2019)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56,364,645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61,963,007</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Total convertible preferred stock</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112,590,631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118,188,993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w w:val="89"/>
              </w:rPr>
              <w:t>Common stock, $0.11 par value at December 31, 2018 and June 30, 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20"/>
              <w:spacing w:after="0"/>
              <w:rPr>
                <w:sz w:val="20"/>
                <w:szCs w:val="20"/>
                <w:color w:val="auto"/>
              </w:rPr>
            </w:pPr>
            <w:r>
              <w:rPr>
                <w:rFonts w:ascii="Arial" w:cs="Arial" w:eastAsia="Arial" w:hAnsi="Arial"/>
                <w:sz w:val="18"/>
                <w:szCs w:val="18"/>
                <w:color w:val="auto"/>
                <w:w w:val="90"/>
              </w:rPr>
              <w:t>$0.001 par value at pro forma June 30, 2019; 1,155,366, 1,181,573 and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20"/>
              <w:spacing w:after="0"/>
              <w:rPr>
                <w:sz w:val="20"/>
                <w:szCs w:val="20"/>
                <w:color w:val="auto"/>
              </w:rPr>
            </w:pPr>
            <w:r>
              <w:rPr>
                <w:rFonts w:ascii="Arial" w:cs="Arial" w:eastAsia="Arial" w:hAnsi="Arial"/>
                <w:sz w:val="18"/>
                <w:szCs w:val="18"/>
                <w:color w:val="auto"/>
                <w:w w:val="97"/>
              </w:rPr>
              <w:t>14,209,865 shares issued and outstanding at December 31, 2018,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320"/>
              <w:spacing w:after="0"/>
              <w:rPr>
                <w:sz w:val="20"/>
                <w:szCs w:val="20"/>
                <w:color w:val="auto"/>
              </w:rPr>
            </w:pPr>
            <w:r>
              <w:rPr>
                <w:rFonts w:ascii="Arial" w:cs="Arial" w:eastAsia="Arial" w:hAnsi="Arial"/>
                <w:sz w:val="18"/>
                <w:szCs w:val="18"/>
                <w:color w:val="auto"/>
              </w:rPr>
              <w:t>June 30, 2019 and pro forma June 30, 2019, respectively.</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127,091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129,974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14,210</w:t>
            </w:r>
          </w:p>
        </w:tc>
        <w:tc>
          <w:tcPr>
            <w:tcW w:w="1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19,666,588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19,971,732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138,276,489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(8,761,325)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(10,747,992)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(10,747,992)</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(62,468,456)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(71,206,106)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(71,206,106)</w:t>
            </w:r>
          </w:p>
        </w:tc>
      </w:tr>
      <w:tr>
        <w:trPr>
          <w:trHeight w:val="210"/>
        </w:trPr>
        <w:tc>
          <w:tcPr>
            <w:tcW w:w="20" w:type="dxa"/>
            <w:vAlign w:val="bottom"/>
          </w:tcPr>
          <w:p>
            <w:pPr>
              <w:spacing w:after="0"/>
              <w:rPr>
                <w:sz w:val="18"/>
                <w:szCs w:val="18"/>
                <w:color w:val="auto"/>
              </w:rPr>
            </w:pPr>
          </w:p>
        </w:tc>
        <w:tc>
          <w:tcPr>
            <w:tcW w:w="5500" w:type="dxa"/>
            <w:vAlign w:val="bottom"/>
          </w:tcPr>
          <w:p>
            <w:pPr>
              <w:ind w:left="320"/>
              <w:spacing w:after="0"/>
              <w:rPr>
                <w:sz w:val="20"/>
                <w:szCs w:val="20"/>
                <w:color w:val="auto"/>
              </w:rPr>
            </w:pPr>
            <w:r>
              <w:rPr>
                <w:rFonts w:ascii="Arial" w:cs="Arial" w:eastAsia="Arial" w:hAnsi="Arial"/>
                <w:sz w:val="18"/>
                <w:szCs w:val="18"/>
                <w:color w:val="auto"/>
              </w:rPr>
              <w:t>Total stockholders' equity (deficit)</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(51,436,102)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(61,852,392)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56,336,601</w:t>
            </w:r>
          </w:p>
        </w:tc>
        <w:tc>
          <w:tcPr>
            <w:tcW w:w="16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55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6"/>
              </w:rPr>
              <w:t>Total liabilities, convertible preferred stock and stockholders' equity</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(deficit)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66,022,638</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62,214,654</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62,214,654</w:t>
            </w:r>
          </w:p>
        </w:tc>
        <w:tc>
          <w:tcPr>
            <w:tcW w:w="16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41" w:right="1379" w:bottom="1440" w:gutter="0" w:footer="0" w:header="0"/>
        </w:sectPr>
      </w:pPr>
    </w:p>
    <w:bookmarkStart w:id="227" w:name="page228"/>
    <w:bookmarkEnd w:id="227"/>
    <w:p>
      <w:pPr>
        <w:jc w:val="center"/>
        <w:ind w:right="40"/>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7,492,788</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7,998,270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1,166,520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2,347,915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8,659,308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10,346,185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gain</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949,158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1,615,974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gridSpan w:val="2"/>
          </w:tcPr>
          <w:p>
            <w:pPr>
              <w:spacing w:after="0"/>
              <w:rPr>
                <w:sz w:val="20"/>
                <w:szCs w:val="20"/>
                <w:color w:val="auto"/>
              </w:rPr>
            </w:pPr>
            <w:r>
              <w:rPr>
                <w:rFonts w:ascii="Arial" w:cs="Arial" w:eastAsia="Arial" w:hAnsi="Arial"/>
                <w:sz w:val="18"/>
                <w:szCs w:val="18"/>
                <w:color w:val="auto"/>
              </w:rPr>
              <w:t>Total other income (expense)</w:t>
            </w:r>
          </w:p>
        </w:tc>
        <w:tc>
          <w:tcPr>
            <w:tcW w:w="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948,970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1,608,535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(7,710,338)</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(8,737,650)</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loss:</w:t>
            </w: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2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(1,176,208)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(1,986,667)</w:t>
            </w:r>
          </w:p>
        </w:tc>
        <w:tc>
          <w:tcPr>
            <w:tcW w:w="0" w:type="dxa"/>
            <w:vAlign w:val="bottom"/>
          </w:tcPr>
          <w:p>
            <w:pPr>
              <w:spacing w:after="0"/>
              <w:rPr>
                <w:sz w:val="1"/>
                <w:szCs w:val="1"/>
                <w:color w:val="auto"/>
              </w:rPr>
            </w:pPr>
          </w:p>
        </w:tc>
      </w:tr>
      <w:tr>
        <w:trPr>
          <w:trHeight w:val="210"/>
        </w:trPr>
        <w:tc>
          <w:tcPr>
            <w:tcW w:w="632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4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(8,886,546)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(10,724,317)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6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(6.68)</w:t>
            </w:r>
          </w:p>
        </w:tc>
        <w:tc>
          <w:tcPr>
            <w:tcW w:w="2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basic and diluted shares of common stock outstanding</w:t>
            </w: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2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1,154,107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1,176,417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4"/>
              </w:rPr>
              <w:t>Pro forma net loss per share attributable to common stockholders, basic and diluted</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Pro forma weighted average common shares outstanding, basic and diluted</w:t>
            </w: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2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14,075,669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41" w:right="1379" w:bottom="1440" w:gutter="0" w:footer="0" w:header="0"/>
        </w:sectPr>
      </w:pPr>
    </w:p>
    <w:bookmarkStart w:id="228" w:name="page229"/>
    <w:bookmarkEnd w:id="228"/>
    <w:p>
      <w:pPr>
        <w:jc w:val="center"/>
        <w:ind w:right="1040"/>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 (Deficit)</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8"/>
          </w:tcPr>
          <w:p>
            <w:pPr>
              <w:jc w:val="right"/>
              <w:ind w:right="560"/>
              <w:spacing w:after="0"/>
              <w:rPr>
                <w:sz w:val="20"/>
                <w:szCs w:val="20"/>
                <w:color w:val="auto"/>
              </w:rPr>
            </w:pPr>
            <w:r>
              <w:rPr>
                <w:rFonts w:ascii="Arial" w:cs="Arial" w:eastAsia="Arial" w:hAnsi="Arial"/>
                <w:sz w:val="14"/>
                <w:szCs w:val="14"/>
                <w:b w:val="1"/>
                <w:bCs w:val="1"/>
                <w:color w:val="auto"/>
                <w:w w:val="88"/>
              </w:rPr>
              <w:t>Convertible Preferred Stock</w:t>
            </w: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6"/>
              </w:rPr>
              <w:t>Accumulated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40" w:type="dxa"/>
            <w:vAlign w:val="bottom"/>
            <w:gridSpan w:val="4"/>
            <w:vMerge w:val="restart"/>
          </w:tcPr>
          <w:p>
            <w:pPr>
              <w:jc w:val="right"/>
              <w:ind w:right="312"/>
              <w:spacing w:after="0"/>
              <w:rPr>
                <w:sz w:val="20"/>
                <w:szCs w:val="20"/>
                <w:color w:val="auto"/>
              </w:rPr>
            </w:pPr>
            <w:r>
              <w:rPr>
                <w:rFonts w:ascii="Arial" w:cs="Arial" w:eastAsia="Arial" w:hAnsi="Arial"/>
                <w:sz w:val="14"/>
                <w:szCs w:val="14"/>
                <w:b w:val="1"/>
                <w:bCs w:val="1"/>
                <w:color w:val="auto"/>
              </w:rPr>
              <w:t>Series A</w:t>
            </w:r>
          </w:p>
        </w:tc>
        <w:tc>
          <w:tcPr>
            <w:tcW w:w="60" w:type="dxa"/>
            <w:vAlign w:val="bottom"/>
          </w:tcPr>
          <w:p>
            <w:pPr>
              <w:spacing w:after="0"/>
              <w:rPr>
                <w:sz w:val="12"/>
                <w:szCs w:val="12"/>
                <w:color w:val="auto"/>
              </w:rPr>
            </w:pPr>
          </w:p>
        </w:tc>
        <w:tc>
          <w:tcPr>
            <w:tcW w:w="1420" w:type="dxa"/>
            <w:vAlign w:val="bottom"/>
            <w:gridSpan w:val="4"/>
            <w:vMerge w:val="restart"/>
          </w:tcPr>
          <w:p>
            <w:pPr>
              <w:jc w:val="right"/>
              <w:ind w:right="412"/>
              <w:spacing w:after="0"/>
              <w:rPr>
                <w:sz w:val="20"/>
                <w:szCs w:val="20"/>
                <w:color w:val="auto"/>
              </w:rPr>
            </w:pPr>
            <w:r>
              <w:rPr>
                <w:rFonts w:ascii="Arial" w:cs="Arial" w:eastAsia="Arial" w:hAnsi="Arial"/>
                <w:sz w:val="14"/>
                <w:szCs w:val="14"/>
                <w:b w:val="1"/>
                <w:bCs w:val="1"/>
                <w:color w:val="auto"/>
              </w:rPr>
              <w:t>Series B</w:t>
            </w:r>
          </w:p>
        </w:tc>
        <w:tc>
          <w:tcPr>
            <w:tcW w:w="60" w:type="dxa"/>
            <w:vAlign w:val="bottom"/>
          </w:tcPr>
          <w:p>
            <w:pPr>
              <w:spacing w:after="0"/>
              <w:rPr>
                <w:sz w:val="12"/>
                <w:szCs w:val="12"/>
                <w:color w:val="auto"/>
              </w:rPr>
            </w:pPr>
          </w:p>
        </w:tc>
        <w:tc>
          <w:tcPr>
            <w:tcW w:w="1420" w:type="dxa"/>
            <w:vAlign w:val="bottom"/>
            <w:gridSpan w:val="4"/>
            <w:vMerge w:val="restart"/>
          </w:tcPr>
          <w:p>
            <w:pPr>
              <w:jc w:val="right"/>
              <w:ind w:right="412"/>
              <w:spacing w:after="0"/>
              <w:rPr>
                <w:sz w:val="20"/>
                <w:szCs w:val="20"/>
                <w:color w:val="auto"/>
              </w:rPr>
            </w:pPr>
            <w:r>
              <w:rPr>
                <w:rFonts w:ascii="Arial" w:cs="Arial" w:eastAsia="Arial" w:hAnsi="Arial"/>
                <w:sz w:val="14"/>
                <w:szCs w:val="14"/>
                <w:b w:val="1"/>
                <w:bCs w:val="1"/>
                <w:color w:val="auto"/>
              </w:rPr>
              <w:t>Series C</w:t>
            </w:r>
          </w:p>
        </w:tc>
        <w:tc>
          <w:tcPr>
            <w:tcW w:w="40" w:type="dxa"/>
            <w:vAlign w:val="bottom"/>
          </w:tcPr>
          <w:p>
            <w:pPr>
              <w:spacing w:after="0"/>
              <w:rPr>
                <w:sz w:val="12"/>
                <w:szCs w:val="12"/>
                <w:color w:val="auto"/>
              </w:rPr>
            </w:pPr>
          </w:p>
        </w:tc>
        <w:tc>
          <w:tcPr>
            <w:tcW w:w="1280" w:type="dxa"/>
            <w:vAlign w:val="bottom"/>
            <w:gridSpan w:val="5"/>
            <w:vMerge w:val="restart"/>
          </w:tcPr>
          <w:p>
            <w:pPr>
              <w:jc w:val="right"/>
              <w:ind w:right="22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Additional</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Other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jc w:val="right"/>
              <w:ind w:right="92"/>
              <w:spacing w:after="0" w:line="149"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5"/>
                <w:szCs w:val="5"/>
                <w:color w:val="auto"/>
              </w:rPr>
            </w:pPr>
          </w:p>
        </w:tc>
        <w:tc>
          <w:tcPr>
            <w:tcW w:w="9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20" w:type="dxa"/>
            <w:vAlign w:val="bottom"/>
          </w:tcPr>
          <w:p>
            <w:pPr>
              <w:spacing w:after="0"/>
              <w:rPr>
                <w:sz w:val="5"/>
                <w:szCs w:val="5"/>
                <w:color w:val="auto"/>
              </w:rPr>
            </w:pPr>
          </w:p>
        </w:tc>
        <w:tc>
          <w:tcPr>
            <w:tcW w:w="840" w:type="dxa"/>
            <w:vAlign w:val="bottom"/>
            <w:gridSpan w:val="3"/>
            <w:vMerge w:val="restart"/>
          </w:tcPr>
          <w:p>
            <w:pPr>
              <w:jc w:val="right"/>
              <w:ind w:right="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5"/>
                <w:szCs w:val="5"/>
                <w:color w:val="auto"/>
              </w:rPr>
            </w:pPr>
          </w:p>
        </w:tc>
        <w:tc>
          <w:tcPr>
            <w:tcW w:w="76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Shares</w:t>
            </w:r>
          </w:p>
        </w:tc>
        <w:tc>
          <w:tcPr>
            <w:tcW w:w="80" w:type="dxa"/>
            <w:vAlign w:val="bottom"/>
          </w:tcPr>
          <w:p>
            <w:pPr>
              <w:spacing w:after="0"/>
              <w:rPr>
                <w:sz w:val="14"/>
                <w:szCs w:val="14"/>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w w:val="86"/>
              </w:rPr>
              <w:t>Amount</w:t>
            </w:r>
          </w:p>
        </w:tc>
        <w:tc>
          <w:tcPr>
            <w:tcW w:w="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660" w:type="dxa"/>
            <w:vAlign w:val="bottom"/>
          </w:tcPr>
          <w:p>
            <w:pPr>
              <w:jc w:val="right"/>
              <w:ind w:right="72"/>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680" w:type="dxa"/>
            <w:vAlign w:val="bottom"/>
          </w:tcPr>
          <w:p>
            <w:pPr>
              <w:jc w:val="right"/>
              <w:ind w:right="72"/>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14"/>
                <w:szCs w:val="14"/>
                <w:color w:val="auto"/>
              </w:rPr>
            </w:pPr>
          </w:p>
        </w:tc>
        <w:tc>
          <w:tcPr>
            <w:tcW w:w="660" w:type="dxa"/>
            <w:vAlign w:val="bottom"/>
          </w:tcPr>
          <w:p>
            <w:pPr>
              <w:jc w:val="right"/>
              <w:ind w:right="72"/>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ind w:right="92"/>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79"/>
              </w:rPr>
              <w:t>Loss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Balance,</w:t>
            </w:r>
          </w:p>
        </w:tc>
        <w:tc>
          <w:tcPr>
            <w:tcW w:w="5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December 31,</w:t>
            </w: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2017</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8"/>
              </w:rPr>
              <w:t>612,446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6,483,044</w:t>
            </w: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7,235,969</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49,742,942</w:t>
            </w:r>
          </w:p>
        </w:tc>
        <w:tc>
          <w:tcPr>
            <w:tcW w:w="6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 $</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1,153,061</w:t>
            </w:r>
          </w:p>
        </w:tc>
        <w:tc>
          <w:tcPr>
            <w:tcW w:w="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0"/>
              </w:rPr>
              <w:t>126,838</w:t>
            </w:r>
          </w:p>
        </w:tc>
        <w:tc>
          <w:tcPr>
            <w:tcW w:w="4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19,335,560</w:t>
            </w: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(8,287,406)</w:t>
            </w:r>
          </w:p>
        </w:tc>
        <w:tc>
          <w:tcPr>
            <w:tcW w:w="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0"/>
              </w:rPr>
              <w:t>(46,940,187)</w:t>
            </w: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90"/>
              </w:rPr>
              <w:t>(35,765,195)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40" w:type="dxa"/>
            <w:vAlign w:val="bottom"/>
          </w:tcPr>
          <w:p>
            <w:pPr>
              <w:spacing w:after="0" w:line="138" w:lineRule="exact"/>
              <w:rPr>
                <w:sz w:val="20"/>
                <w:szCs w:val="20"/>
                <w:color w:val="auto"/>
              </w:rPr>
            </w:pPr>
            <w:r>
              <w:rPr>
                <w:rFonts w:ascii="Arial" w:cs="Arial" w:eastAsia="Arial" w:hAnsi="Arial"/>
                <w:sz w:val="14"/>
                <w:szCs w:val="14"/>
                <w:color w:val="auto"/>
              </w:rPr>
              <w:t>Exercise of stock</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tcPr>
          <w:p>
            <w:pPr>
              <w:ind w:left="120"/>
              <w:spacing w:after="0" w:line="159" w:lineRule="exact"/>
              <w:rPr>
                <w:sz w:val="20"/>
                <w:szCs w:val="20"/>
                <w:color w:val="auto"/>
              </w:rPr>
            </w:pPr>
            <w:r>
              <w:rPr>
                <w:rFonts w:ascii="Arial" w:cs="Arial" w:eastAsia="Arial" w:hAnsi="Arial"/>
                <w:sz w:val="14"/>
                <w:szCs w:val="14"/>
                <w:color w:val="auto"/>
              </w:rPr>
              <w:t>options</w:t>
            </w: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1,503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165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1,250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1,415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Stock-based</w:t>
            </w: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compensation</w:t>
            </w: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169,854</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169,854</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40" w:type="dxa"/>
            <w:vAlign w:val="bottom"/>
          </w:tcPr>
          <w:p>
            <w:pPr>
              <w:spacing w:after="0" w:line="138" w:lineRule="exact"/>
              <w:rPr>
                <w:sz w:val="20"/>
                <w:szCs w:val="20"/>
                <w:color w:val="auto"/>
              </w:rPr>
            </w:pPr>
            <w:r>
              <w:rPr>
                <w:rFonts w:ascii="Arial" w:cs="Arial" w:eastAsia="Arial" w:hAnsi="Arial"/>
                <w:sz w:val="14"/>
                <w:szCs w:val="14"/>
                <w:color w:val="auto"/>
              </w:rPr>
              <w:t>Foreign currency</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tcPr>
          <w:p>
            <w:pPr>
              <w:ind w:left="120"/>
              <w:spacing w:after="0" w:line="159" w:lineRule="exact"/>
              <w:rPr>
                <w:sz w:val="20"/>
                <w:szCs w:val="20"/>
                <w:color w:val="auto"/>
              </w:rPr>
            </w:pPr>
            <w:r>
              <w:rPr>
                <w:rFonts w:ascii="Arial" w:cs="Arial" w:eastAsia="Arial" w:hAnsi="Arial"/>
                <w:sz w:val="14"/>
                <w:szCs w:val="14"/>
                <w:color w:val="auto"/>
              </w:rPr>
              <w:t>translation</w:t>
            </w: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(1,176,208)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(1,176,208)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loss</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(7,710,338)</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(7,710,338)</w:t>
            </w:r>
          </w:p>
        </w:tc>
        <w:tc>
          <w:tcPr>
            <w:tcW w:w="0" w:type="dxa"/>
            <w:vAlign w:val="bottom"/>
          </w:tcPr>
          <w:p>
            <w:pPr>
              <w:spacing w:after="0"/>
              <w:rPr>
                <w:sz w:val="1"/>
                <w:szCs w:val="1"/>
                <w:color w:val="auto"/>
              </w:rPr>
            </w:pPr>
          </w:p>
        </w:tc>
      </w:tr>
      <w:tr>
        <w:trPr>
          <w:trHeight w:val="131"/>
        </w:trPr>
        <w:tc>
          <w:tcPr>
            <w:tcW w:w="1160" w:type="dxa"/>
            <w:vAlign w:val="bottom"/>
            <w:gridSpan w:val="2"/>
          </w:tcPr>
          <w:p>
            <w:pPr>
              <w:spacing w:after="0" w:line="131" w:lineRule="exact"/>
              <w:rPr>
                <w:sz w:val="20"/>
                <w:szCs w:val="20"/>
                <w:color w:val="auto"/>
              </w:rPr>
            </w:pPr>
            <w:r>
              <w:rPr>
                <w:rFonts w:ascii="Arial" w:cs="Arial" w:eastAsia="Arial" w:hAnsi="Arial"/>
                <w:sz w:val="14"/>
                <w:szCs w:val="14"/>
                <w:color w:val="auto"/>
              </w:rPr>
              <w:t>Balance, June 30,</w:t>
            </w:r>
          </w:p>
        </w:tc>
        <w:tc>
          <w:tcPr>
            <w:tcW w:w="5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16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2018</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w w:val="98"/>
              </w:rPr>
              <w:t>612,446</w:t>
            </w:r>
          </w:p>
        </w:tc>
        <w:tc>
          <w:tcPr>
            <w:tcW w:w="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w w:val="89"/>
              </w:rPr>
              <w:t>6,483,044</w:t>
            </w: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7,235,969</w:t>
            </w:r>
          </w:p>
        </w:tc>
        <w:tc>
          <w:tcPr>
            <w:tcW w:w="40" w:type="dxa"/>
            <w:vAlign w:val="bottom"/>
          </w:tcPr>
          <w:p>
            <w:pPr>
              <w:spacing w:after="0"/>
              <w:rPr>
                <w:sz w:val="13"/>
                <w:szCs w:val="13"/>
                <w:color w:val="auto"/>
              </w:rPr>
            </w:pP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w w:val="91"/>
              </w:rPr>
              <w:t>49,742,942</w:t>
            </w:r>
          </w:p>
        </w:tc>
        <w:tc>
          <w:tcPr>
            <w:tcW w:w="60" w:type="dxa"/>
            <w:vAlign w:val="bottom"/>
          </w:tcPr>
          <w:p>
            <w:pPr>
              <w:spacing w:after="0"/>
              <w:rPr>
                <w:sz w:val="13"/>
                <w:szCs w:val="13"/>
                <w:color w:val="auto"/>
              </w:rPr>
            </w:pPr>
          </w:p>
        </w:tc>
        <w:tc>
          <w:tcPr>
            <w:tcW w:w="7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 $</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1,154,564</w:t>
            </w:r>
          </w:p>
        </w:tc>
        <w:tc>
          <w:tcPr>
            <w:tcW w:w="1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w w:val="90"/>
              </w:rPr>
              <w:t>127,003</w:t>
            </w:r>
          </w:p>
        </w:tc>
        <w:tc>
          <w:tcPr>
            <w:tcW w:w="40" w:type="dxa"/>
            <w:vAlign w:val="bottom"/>
          </w:tcPr>
          <w:p>
            <w:pPr>
              <w:spacing w:after="0"/>
              <w:rPr>
                <w:sz w:val="13"/>
                <w:szCs w:val="13"/>
                <w:color w:val="auto"/>
              </w:rPr>
            </w:pPr>
          </w:p>
        </w:tc>
        <w:tc>
          <w:tcPr>
            <w:tcW w:w="8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w w:val="94"/>
              </w:rPr>
              <w:t>19,506,664</w:t>
            </w:r>
          </w:p>
        </w:tc>
        <w:tc>
          <w:tcPr>
            <w:tcW w:w="100" w:type="dxa"/>
            <w:vAlign w:val="bottom"/>
            <w:gridSpan w:val="2"/>
          </w:tcPr>
          <w:p>
            <w:pPr>
              <w:ind w:left="4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(9,463,614)</w:t>
            </w:r>
          </w:p>
        </w:tc>
        <w:tc>
          <w:tcPr>
            <w:tcW w:w="12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gridSpan w:val="3"/>
          </w:tcPr>
          <w:p>
            <w:pPr>
              <w:jc w:val="right"/>
              <w:ind w:right="4"/>
              <w:spacing w:after="0" w:line="159" w:lineRule="exact"/>
              <w:rPr>
                <w:sz w:val="20"/>
                <w:szCs w:val="20"/>
                <w:color w:val="auto"/>
              </w:rPr>
            </w:pPr>
            <w:r>
              <w:rPr>
                <w:rFonts w:ascii="Arial" w:cs="Arial" w:eastAsia="Arial" w:hAnsi="Arial"/>
                <w:sz w:val="14"/>
                <w:szCs w:val="14"/>
                <w:color w:val="auto"/>
                <w:w w:val="89"/>
              </w:rPr>
              <w:t>(54,650,525)$</w:t>
            </w: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w w:val="90"/>
              </w:rPr>
              <w:t>(44,480,472)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20" w:type="dxa"/>
            <w:vAlign w:val="bottom"/>
          </w:tcPr>
          <w:p>
            <w:pPr>
              <w:spacing w:after="0"/>
              <w:rPr>
                <w:sz w:val="24"/>
                <w:szCs w:val="2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Balance,</w:t>
            </w:r>
          </w:p>
        </w:tc>
        <w:tc>
          <w:tcPr>
            <w:tcW w:w="5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December 31,</w:t>
            </w: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2018</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8"/>
              </w:rPr>
              <w:t>612,446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6,483,044</w:t>
            </w: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7,235,969</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49,742,942</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4,712,698</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56,364,645</w:t>
            </w: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1,155,366</w:t>
            </w:r>
          </w:p>
        </w:tc>
        <w:tc>
          <w:tcPr>
            <w:tcW w:w="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0"/>
              </w:rPr>
              <w:t>127,091</w:t>
            </w:r>
          </w:p>
        </w:tc>
        <w:tc>
          <w:tcPr>
            <w:tcW w:w="4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19,666,588</w:t>
            </w: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(8,761,325)</w:t>
            </w:r>
          </w:p>
        </w:tc>
        <w:tc>
          <w:tcPr>
            <w:tcW w:w="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0"/>
              </w:rPr>
              <w:t>(62,468,456)</w:t>
            </w: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90"/>
              </w:rPr>
              <w:t>(51,436,102)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40" w:type="dxa"/>
            <w:vAlign w:val="bottom"/>
          </w:tcPr>
          <w:p>
            <w:pPr>
              <w:spacing w:after="0" w:line="138" w:lineRule="exact"/>
              <w:rPr>
                <w:sz w:val="20"/>
                <w:szCs w:val="20"/>
                <w:color w:val="auto"/>
              </w:rPr>
            </w:pPr>
            <w:r>
              <w:rPr>
                <w:rFonts w:ascii="Arial" w:cs="Arial" w:eastAsia="Arial" w:hAnsi="Arial"/>
                <w:sz w:val="14"/>
                <w:szCs w:val="14"/>
                <w:color w:val="auto"/>
                <w:w w:val="86"/>
              </w:rPr>
              <w:t>Issuance of Series C</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ind w:left="120"/>
              <w:spacing w:after="0" w:line="149" w:lineRule="exact"/>
              <w:rPr>
                <w:sz w:val="20"/>
                <w:szCs w:val="20"/>
                <w:color w:val="auto"/>
              </w:rPr>
            </w:pPr>
            <w:r>
              <w:rPr>
                <w:rFonts w:ascii="Arial" w:cs="Arial" w:eastAsia="Arial" w:hAnsi="Arial"/>
                <w:sz w:val="14"/>
                <w:szCs w:val="14"/>
                <w:color w:val="auto"/>
              </w:rPr>
              <w:t>convertible</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ind w:left="120"/>
              <w:spacing w:after="0" w:line="149" w:lineRule="exact"/>
              <w:rPr>
                <w:sz w:val="20"/>
                <w:szCs w:val="20"/>
                <w:color w:val="auto"/>
              </w:rPr>
            </w:pPr>
            <w:r>
              <w:rPr>
                <w:rFonts w:ascii="Arial" w:cs="Arial" w:eastAsia="Arial" w:hAnsi="Arial"/>
                <w:sz w:val="14"/>
                <w:szCs w:val="14"/>
                <w:color w:val="auto"/>
              </w:rPr>
              <w:t>preferred stock,</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ind w:left="120"/>
              <w:spacing w:after="0" w:line="149" w:lineRule="exact"/>
              <w:rPr>
                <w:sz w:val="20"/>
                <w:szCs w:val="20"/>
                <w:color w:val="auto"/>
              </w:rPr>
            </w:pPr>
            <w:r>
              <w:rPr>
                <w:rFonts w:ascii="Arial" w:cs="Arial" w:eastAsia="Arial" w:hAnsi="Arial"/>
                <w:sz w:val="14"/>
                <w:szCs w:val="14"/>
                <w:color w:val="auto"/>
              </w:rPr>
              <w:t>net of issuance</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tcPr>
          <w:p>
            <w:pPr>
              <w:ind w:left="120"/>
              <w:spacing w:after="0" w:line="159" w:lineRule="exact"/>
              <w:rPr>
                <w:sz w:val="20"/>
                <w:szCs w:val="20"/>
                <w:color w:val="auto"/>
              </w:rPr>
            </w:pPr>
            <w:r>
              <w:rPr>
                <w:rFonts w:ascii="Arial" w:cs="Arial" w:eastAsia="Arial" w:hAnsi="Arial"/>
                <w:sz w:val="14"/>
                <w:szCs w:val="14"/>
                <w:color w:val="auto"/>
                <w:w w:val="97"/>
              </w:rPr>
              <w:t>costs of $53,509</w:t>
            </w: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467,179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5,598,362</w:t>
            </w:r>
          </w:p>
        </w:tc>
        <w:tc>
          <w:tcPr>
            <w:tcW w:w="4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Exercise of stock</w:t>
            </w: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options</w:t>
            </w: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26,207</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2,883</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20,235</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23,118</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40" w:type="dxa"/>
            <w:vAlign w:val="bottom"/>
          </w:tcPr>
          <w:p>
            <w:pPr>
              <w:spacing w:after="0" w:line="138" w:lineRule="exact"/>
              <w:rPr>
                <w:sz w:val="20"/>
                <w:szCs w:val="20"/>
                <w:color w:val="auto"/>
              </w:rPr>
            </w:pPr>
            <w:r>
              <w:rPr>
                <w:rFonts w:ascii="Arial" w:cs="Arial" w:eastAsia="Arial" w:hAnsi="Arial"/>
                <w:sz w:val="14"/>
                <w:szCs w:val="14"/>
                <w:color w:val="auto"/>
              </w:rPr>
              <w:t>Stock-based</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tcPr>
          <w:p>
            <w:pPr>
              <w:ind w:left="120"/>
              <w:spacing w:after="0" w:line="159" w:lineRule="exact"/>
              <w:rPr>
                <w:sz w:val="20"/>
                <w:szCs w:val="20"/>
                <w:color w:val="auto"/>
              </w:rPr>
            </w:pPr>
            <w:r>
              <w:rPr>
                <w:rFonts w:ascii="Arial" w:cs="Arial" w:eastAsia="Arial" w:hAnsi="Arial"/>
                <w:sz w:val="14"/>
                <w:szCs w:val="14"/>
                <w:color w:val="auto"/>
              </w:rPr>
              <w:t>compensation</w:t>
            </w: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284,909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284,909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Foreign currency</w:t>
            </w: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translation</w:t>
            </w: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(1,986,667)</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(1,986,667)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ind w:left="120"/>
              <w:spacing w:after="0" w:line="149" w:lineRule="exact"/>
              <w:rPr>
                <w:sz w:val="20"/>
                <w:szCs w:val="20"/>
                <w:color w:val="auto"/>
              </w:rPr>
            </w:pPr>
            <w:r>
              <w:rPr>
                <w:rFonts w:ascii="Arial" w:cs="Arial" w:eastAsia="Arial" w:hAnsi="Arial"/>
                <w:sz w:val="14"/>
                <w:szCs w:val="14"/>
                <w:color w:val="auto"/>
              </w:rPr>
              <w:t>Net loss</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(8,737,650)</w:t>
            </w:r>
          </w:p>
        </w:tc>
        <w:tc>
          <w:tcPr>
            <w:tcW w:w="12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(8,737,650)</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w w:val="99"/>
              </w:rPr>
              <w:t>Balance, June 30,</w:t>
            </w:r>
          </w:p>
        </w:tc>
        <w:tc>
          <w:tcPr>
            <w:tcW w:w="5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2019</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8"/>
              </w:rPr>
              <w:t>612,446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6,483,044</w:t>
            </w: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7,235,969</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49,742,942</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5,179,877</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61,693,007</w:t>
            </w: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1,181,573</w:t>
            </w:r>
          </w:p>
        </w:tc>
        <w:tc>
          <w:tcPr>
            <w:tcW w:w="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0"/>
              </w:rPr>
              <w:t>129,974</w:t>
            </w:r>
          </w:p>
        </w:tc>
        <w:tc>
          <w:tcPr>
            <w:tcW w:w="4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19,971,732</w:t>
            </w: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102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(10,747,992)$</w:t>
            </w:r>
          </w:p>
        </w:tc>
        <w:tc>
          <w:tcPr>
            <w:tcW w:w="860" w:type="dxa"/>
            <w:vAlign w:val="bottom"/>
            <w:gridSpan w:val="3"/>
            <w:shd w:val="clear" w:color="auto" w:fill="CCEEFF"/>
          </w:tcPr>
          <w:p>
            <w:pPr>
              <w:jc w:val="right"/>
              <w:ind w:right="4"/>
              <w:spacing w:after="0" w:line="159" w:lineRule="exact"/>
              <w:rPr>
                <w:sz w:val="20"/>
                <w:szCs w:val="20"/>
                <w:color w:val="auto"/>
              </w:rPr>
            </w:pPr>
            <w:r>
              <w:rPr>
                <w:rFonts w:ascii="Arial" w:cs="Arial" w:eastAsia="Arial" w:hAnsi="Arial"/>
                <w:sz w:val="14"/>
                <w:szCs w:val="14"/>
                <w:color w:val="auto"/>
                <w:w w:val="89"/>
              </w:rPr>
              <w:t>(71,206,106)$</w:t>
            </w:r>
          </w:p>
        </w:tc>
        <w:tc>
          <w:tcPr>
            <w:tcW w:w="7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90"/>
              </w:rPr>
              <w:t>(61,852,392)</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158" w:lineRule="exact"/>
              <w:rPr>
                <w:sz w:val="20"/>
                <w:szCs w:val="20"/>
                <w:color w:val="auto"/>
              </w:rPr>
            </w:pPr>
            <w:r>
              <w:rPr>
                <w:rFonts w:ascii="Arial" w:cs="Arial" w:eastAsia="Arial" w:hAnsi="Arial"/>
                <w:sz w:val="14"/>
                <w:szCs w:val="14"/>
                <w:color w:val="auto"/>
              </w:rPr>
              <w:t>Exchange and</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16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ind w:left="120"/>
              <w:spacing w:after="0" w:line="149" w:lineRule="exact"/>
              <w:rPr>
                <w:sz w:val="20"/>
                <w:szCs w:val="20"/>
                <w:color w:val="auto"/>
              </w:rPr>
            </w:pPr>
            <w:r>
              <w:rPr>
                <w:rFonts w:ascii="Arial" w:cs="Arial" w:eastAsia="Arial" w:hAnsi="Arial"/>
                <w:sz w:val="14"/>
                <w:szCs w:val="14"/>
                <w:color w:val="auto"/>
              </w:rPr>
              <w:t>conversion of</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ind w:left="120"/>
              <w:spacing w:after="0" w:line="149" w:lineRule="exact"/>
              <w:rPr>
                <w:sz w:val="20"/>
                <w:szCs w:val="20"/>
                <w:color w:val="auto"/>
              </w:rPr>
            </w:pPr>
            <w:r>
              <w:rPr>
                <w:rFonts w:ascii="Arial" w:cs="Arial" w:eastAsia="Arial" w:hAnsi="Arial"/>
                <w:sz w:val="14"/>
                <w:szCs w:val="14"/>
                <w:color w:val="auto"/>
              </w:rPr>
              <w:t>preferred stock</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ind w:left="120"/>
              <w:spacing w:after="0" w:line="149" w:lineRule="exact"/>
              <w:rPr>
                <w:sz w:val="20"/>
                <w:szCs w:val="20"/>
                <w:color w:val="auto"/>
              </w:rPr>
            </w:pPr>
            <w:r>
              <w:rPr>
                <w:rFonts w:ascii="Arial" w:cs="Arial" w:eastAsia="Arial" w:hAnsi="Arial"/>
                <w:sz w:val="14"/>
                <w:szCs w:val="14"/>
                <w:color w:val="auto"/>
              </w:rPr>
              <w:t>and common</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ind w:left="120"/>
              <w:spacing w:after="0" w:line="149" w:lineRule="exact"/>
              <w:rPr>
                <w:sz w:val="20"/>
                <w:szCs w:val="20"/>
                <w:color w:val="auto"/>
              </w:rPr>
            </w:pPr>
            <w:r>
              <w:rPr>
                <w:rFonts w:ascii="Arial" w:cs="Arial" w:eastAsia="Arial" w:hAnsi="Arial"/>
                <w:sz w:val="14"/>
                <w:szCs w:val="14"/>
                <w:color w:val="auto"/>
              </w:rPr>
              <w:t>stock of Aprea</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ind w:left="120"/>
              <w:spacing w:after="0" w:line="149" w:lineRule="exact"/>
              <w:rPr>
                <w:sz w:val="20"/>
                <w:szCs w:val="20"/>
                <w:color w:val="auto"/>
              </w:rPr>
            </w:pPr>
            <w:r>
              <w:rPr>
                <w:rFonts w:ascii="Arial" w:cs="Arial" w:eastAsia="Arial" w:hAnsi="Arial"/>
                <w:sz w:val="14"/>
                <w:szCs w:val="14"/>
                <w:color w:val="auto"/>
                <w:w w:val="96"/>
              </w:rPr>
              <w:t>Therapeutics AB</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ind w:left="120"/>
              <w:spacing w:after="0" w:line="149" w:lineRule="exact"/>
              <w:rPr>
                <w:sz w:val="20"/>
                <w:szCs w:val="20"/>
                <w:color w:val="auto"/>
              </w:rPr>
            </w:pPr>
            <w:r>
              <w:rPr>
                <w:rFonts w:ascii="Arial" w:cs="Arial" w:eastAsia="Arial" w:hAnsi="Arial"/>
                <w:sz w:val="14"/>
                <w:szCs w:val="14"/>
                <w:color w:val="auto"/>
              </w:rPr>
              <w:t>into common</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ind w:left="120"/>
              <w:spacing w:after="0" w:line="149" w:lineRule="exact"/>
              <w:rPr>
                <w:sz w:val="20"/>
                <w:szCs w:val="20"/>
                <w:color w:val="auto"/>
              </w:rPr>
            </w:pPr>
            <w:r>
              <w:rPr>
                <w:rFonts w:ascii="Arial" w:cs="Arial" w:eastAsia="Arial" w:hAnsi="Arial"/>
                <w:sz w:val="14"/>
                <w:szCs w:val="14"/>
                <w:color w:val="auto"/>
              </w:rPr>
              <w:t>stock of Aprea</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tcPr>
          <w:p>
            <w:pPr>
              <w:ind w:left="120"/>
              <w:spacing w:after="0" w:line="159" w:lineRule="exact"/>
              <w:rPr>
                <w:sz w:val="20"/>
                <w:szCs w:val="20"/>
                <w:color w:val="auto"/>
              </w:rPr>
            </w:pPr>
            <w:r>
              <w:rPr>
                <w:rFonts w:ascii="Arial" w:cs="Arial" w:eastAsia="Arial" w:hAnsi="Arial"/>
                <w:sz w:val="14"/>
                <w:szCs w:val="14"/>
                <w:color w:val="auto"/>
                <w:w w:val="93"/>
              </w:rPr>
              <w:t>Therapeutics Inc.</w:t>
            </w:r>
          </w:p>
        </w:tc>
        <w:tc>
          <w:tcPr>
            <w:tcW w:w="5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w w:val="90"/>
              </w:rPr>
              <w:t>(612,446)</w:t>
            </w:r>
          </w:p>
        </w:tc>
        <w:tc>
          <w:tcPr>
            <w:tcW w:w="80" w:type="dxa"/>
            <w:vAlign w:val="bottom"/>
          </w:tcPr>
          <w:p>
            <w:pPr>
              <w:spacing w:after="0"/>
              <w:rPr>
                <w:sz w:val="13"/>
                <w:szCs w:val="13"/>
                <w:color w:val="auto"/>
              </w:rPr>
            </w:pPr>
          </w:p>
        </w:tc>
        <w:tc>
          <w:tcPr>
            <w:tcW w:w="1320" w:type="dxa"/>
            <w:vAlign w:val="bottom"/>
            <w:gridSpan w:val="4"/>
          </w:tcPr>
          <w:p>
            <w:pPr>
              <w:jc w:val="right"/>
              <w:spacing w:after="0" w:line="159" w:lineRule="exact"/>
              <w:rPr>
                <w:sz w:val="20"/>
                <w:szCs w:val="20"/>
                <w:color w:val="auto"/>
              </w:rPr>
            </w:pPr>
            <w:r>
              <w:rPr>
                <w:rFonts w:ascii="Arial" w:cs="Arial" w:eastAsia="Arial" w:hAnsi="Arial"/>
                <w:sz w:val="14"/>
                <w:szCs w:val="14"/>
                <w:color w:val="auto"/>
                <w:w w:val="88"/>
              </w:rPr>
              <w:t>(6,483,044) (7,235,969)</w:t>
            </w:r>
          </w:p>
        </w:tc>
        <w:tc>
          <w:tcPr>
            <w:tcW w:w="80" w:type="dxa"/>
            <w:vAlign w:val="bottom"/>
          </w:tcPr>
          <w:p>
            <w:pPr>
              <w:spacing w:after="0"/>
              <w:rPr>
                <w:sz w:val="13"/>
                <w:szCs w:val="13"/>
                <w:color w:val="auto"/>
              </w:rPr>
            </w:pPr>
          </w:p>
        </w:tc>
        <w:tc>
          <w:tcPr>
            <w:tcW w:w="1400" w:type="dxa"/>
            <w:vAlign w:val="bottom"/>
            <w:gridSpan w:val="4"/>
          </w:tcPr>
          <w:p>
            <w:pPr>
              <w:jc w:val="right"/>
              <w:ind w:right="20"/>
              <w:spacing w:after="0" w:line="159" w:lineRule="exact"/>
              <w:rPr>
                <w:sz w:val="20"/>
                <w:szCs w:val="20"/>
                <w:color w:val="auto"/>
              </w:rPr>
            </w:pPr>
            <w:r>
              <w:rPr>
                <w:rFonts w:ascii="Arial" w:cs="Arial" w:eastAsia="Arial" w:hAnsi="Arial"/>
                <w:sz w:val="14"/>
                <w:szCs w:val="14"/>
                <w:color w:val="auto"/>
                <w:w w:val="87"/>
              </w:rPr>
              <w:t>(49,742,942) (5,179,877)</w:t>
            </w:r>
          </w:p>
        </w:tc>
        <w:tc>
          <w:tcPr>
            <w:tcW w:w="60" w:type="dxa"/>
            <w:vAlign w:val="bottom"/>
          </w:tcPr>
          <w:p>
            <w:pPr>
              <w:spacing w:after="0"/>
              <w:rPr>
                <w:sz w:val="13"/>
                <w:szCs w:val="13"/>
                <w:color w:val="auto"/>
              </w:rPr>
            </w:pPr>
          </w:p>
        </w:tc>
        <w:tc>
          <w:tcPr>
            <w:tcW w:w="1380" w:type="dxa"/>
            <w:vAlign w:val="bottom"/>
            <w:gridSpan w:val="3"/>
          </w:tcPr>
          <w:p>
            <w:pPr>
              <w:jc w:val="right"/>
              <w:spacing w:after="0" w:line="159" w:lineRule="exact"/>
              <w:rPr>
                <w:sz w:val="20"/>
                <w:szCs w:val="20"/>
                <w:color w:val="auto"/>
              </w:rPr>
            </w:pPr>
            <w:r>
              <w:rPr>
                <w:rFonts w:ascii="Arial" w:cs="Arial" w:eastAsia="Arial" w:hAnsi="Arial"/>
                <w:sz w:val="14"/>
                <w:szCs w:val="14"/>
                <w:color w:val="auto"/>
                <w:w w:val="87"/>
              </w:rPr>
              <w:t>(61,693,007) 13,028,292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83"/>
              </w:rPr>
              <w:t>(115,764)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w w:val="84"/>
              </w:rPr>
              <w:t>118,304,757</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w w:val="87"/>
              </w:rPr>
              <w:t>118,188,993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w w:val="99"/>
              </w:rPr>
              <w:t>Balance, June 30,</w:t>
            </w:r>
          </w:p>
        </w:tc>
        <w:tc>
          <w:tcPr>
            <w:tcW w:w="5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2019 pro forma</w:t>
            </w:r>
          </w:p>
        </w:tc>
        <w:tc>
          <w:tcPr>
            <w:tcW w:w="6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 $</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 $</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 $</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14,209,865</w:t>
            </w:r>
          </w:p>
        </w:tc>
        <w:tc>
          <w:tcPr>
            <w:tcW w:w="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14,210</w:t>
            </w:r>
          </w:p>
        </w:tc>
        <w:tc>
          <w:tcPr>
            <w:tcW w:w="4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u w:val="single" w:color="auto"/>
                <w:color w:val="auto"/>
                <w:w w:val="76"/>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4"/>
              </w:rPr>
              <w:t>138,276,489</w:t>
            </w: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102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(10,747,992)$</w:t>
            </w:r>
          </w:p>
        </w:tc>
        <w:tc>
          <w:tcPr>
            <w:tcW w:w="860" w:type="dxa"/>
            <w:vAlign w:val="bottom"/>
            <w:gridSpan w:val="3"/>
            <w:shd w:val="clear" w:color="auto" w:fill="CCEEFF"/>
          </w:tcPr>
          <w:p>
            <w:pPr>
              <w:jc w:val="right"/>
              <w:ind w:right="4"/>
              <w:spacing w:after="0" w:line="159" w:lineRule="exact"/>
              <w:rPr>
                <w:sz w:val="20"/>
                <w:szCs w:val="20"/>
                <w:color w:val="auto"/>
              </w:rPr>
            </w:pPr>
            <w:r>
              <w:rPr>
                <w:rFonts w:ascii="Arial" w:cs="Arial" w:eastAsia="Arial" w:hAnsi="Arial"/>
                <w:sz w:val="14"/>
                <w:szCs w:val="14"/>
                <w:color w:val="auto"/>
                <w:w w:val="89"/>
              </w:rPr>
              <w:t>(71,206,106)$</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56,336,601</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80"/>
          </w:cols>
          <w:pgMar w:left="1380" w:top="125" w:right="339" w:bottom="1440" w:gutter="0" w:footer="0" w:header="0"/>
        </w:sectPr>
      </w:pPr>
    </w:p>
    <w:bookmarkStart w:id="229" w:name="page230"/>
    <w:bookmarkEnd w:id="229"/>
    <w:p>
      <w:pPr>
        <w:jc w:val="center"/>
        <w:ind w:right="40"/>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Net loss</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(7,710,338)</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(8,737,650)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4,263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169,854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Amortization of right of use lease asset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51,853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gain</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(949,158)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(1,615,974)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Deferred offering costs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520"/>
              <w:spacing w:after="0"/>
              <w:rPr>
                <w:sz w:val="20"/>
                <w:szCs w:val="20"/>
                <w:color w:val="auto"/>
              </w:rPr>
            </w:pPr>
            <w:r>
              <w:rPr>
                <w:rFonts w:ascii="Arial" w:cs="Arial" w:eastAsia="Arial" w:hAnsi="Arial"/>
                <w:sz w:val="18"/>
                <w:szCs w:val="18"/>
                <w:color w:val="auto"/>
              </w:rPr>
              <w:t>Prepaid expense and other current assets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91,530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19,721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(51,369)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640,719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520"/>
              <w:spacing w:after="0"/>
              <w:rPr>
                <w:sz w:val="20"/>
                <w:szCs w:val="20"/>
                <w:color w:val="auto"/>
              </w:rPr>
            </w:pPr>
            <w:r>
              <w:rPr>
                <w:rFonts w:ascii="Arial" w:cs="Arial" w:eastAsia="Arial" w:hAnsi="Arial"/>
                <w:sz w:val="18"/>
                <w:szCs w:val="18"/>
                <w:color w:val="auto"/>
              </w:rPr>
              <w:t>Accrued expenses and other liabilities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198,384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232,679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Lease liability</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ind w:left="700"/>
              <w:spacing w:after="0"/>
              <w:rPr>
                <w:sz w:val="20"/>
                <w:szCs w:val="20"/>
                <w:color w:val="auto"/>
              </w:rPr>
            </w:pPr>
            <w:r>
              <w:rPr>
                <w:rFonts w:ascii="Arial" w:cs="Arial" w:eastAsia="Arial" w:hAnsi="Arial"/>
                <w:sz w:val="18"/>
                <w:szCs w:val="18"/>
                <w:color w:val="auto"/>
              </w:rPr>
              <w:t>Net cash used in operating activities</w:t>
            </w:r>
          </w:p>
        </w:tc>
        <w:tc>
          <w:tcPr>
            <w:tcW w:w="7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(8,246,834)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(9,797,443)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(4,734)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(4,734)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exercise of stock options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Proceeds from issuance of Series C preferred, net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5,598,362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7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5,621,480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gridSpan w:val="2"/>
          </w:tcPr>
          <w:p>
            <w:pPr>
              <w:spacing w:after="0"/>
              <w:rPr>
                <w:sz w:val="20"/>
                <w:szCs w:val="20"/>
                <w:color w:val="auto"/>
              </w:rPr>
            </w:pPr>
            <w:r>
              <w:rPr>
                <w:rFonts w:ascii="Arial" w:cs="Arial" w:eastAsia="Arial" w:hAnsi="Arial"/>
                <w:sz w:val="18"/>
                <w:szCs w:val="18"/>
                <w:color w:val="auto"/>
              </w:rPr>
              <w:t>Decrease in cash</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1"/>
              </w:rPr>
              <w:t>(8,250,153)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1"/>
              </w:rPr>
              <w:t>(4,182,152)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(547,286)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Cash and cash equivalents—beginning of period</w:t>
            </w:r>
          </w:p>
        </w:tc>
        <w:tc>
          <w:tcPr>
            <w:tcW w:w="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24,401,488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65,675,931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equivalents—end of period</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15,604,049</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60,994,738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activities:</w:t>
            </w: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040" w:type="dxa"/>
            <w:vAlign w:val="bottom"/>
            <w:gridSpan w:val="2"/>
            <w:vMerge w:val="continue"/>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change in accounting principle—ASC 842 adoption</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41" w:right="1379" w:bottom="1440" w:gutter="0" w:footer="0" w:header="0"/>
        </w:sectPr>
      </w:pPr>
    </w:p>
    <w:bookmarkStart w:id="230" w:name="page231"/>
    <w:bookmarkEnd w:id="230"/>
    <w:p>
      <w:pPr>
        <w:jc w:val="center"/>
        <w:ind w:right="-99"/>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basis of presentation</w:t>
      </w:r>
    </w:p>
    <w:p>
      <w:pPr>
        <w:spacing w:after="0" w:line="225" w:lineRule="exact"/>
        <w:rPr>
          <w:sz w:val="20"/>
          <w:szCs w:val="20"/>
          <w:color w:val="auto"/>
        </w:rPr>
      </w:pPr>
    </w:p>
    <w:p>
      <w:pPr>
        <w:ind w:firstLine="351"/>
        <w:spacing w:after="0" w:line="310" w:lineRule="auto"/>
        <w:rPr>
          <w:sz w:val="20"/>
          <w:szCs w:val="20"/>
          <w:color w:val="auto"/>
        </w:rPr>
      </w:pPr>
      <w:r>
        <w:rPr>
          <w:rFonts w:ascii="Arial" w:cs="Arial" w:eastAsia="Arial" w:hAnsi="Arial"/>
          <w:sz w:val="16"/>
          <w:szCs w:val="16"/>
          <w:b w:val="1"/>
          <w:bCs w:val="1"/>
          <w:color w:val="auto"/>
        </w:rPr>
        <w:t>Nature of business</w:t>
      </w:r>
      <w:r>
        <w:rPr>
          <w:rFonts w:ascii="Arial" w:cs="Arial" w:eastAsia="Arial" w:hAnsi="Arial"/>
          <w:sz w:val="16"/>
          <w:szCs w:val="16"/>
          <w:color w:val="auto"/>
        </w:rPr>
        <w:t>—Aprea Therapeutics AB (the "Company") is a clinical-stage biopharmaceutical company focused on developing and commercializing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novel cancer therapeutics that reactivate mutant tumor suppressor protein p53. p53 is the protein expressed from the </w:t>
      </w:r>
      <w:r>
        <w:rPr>
          <w:rFonts w:ascii="Arial" w:cs="Arial" w:eastAsia="Arial" w:hAnsi="Arial"/>
          <w:sz w:val="16"/>
          <w:szCs w:val="16"/>
          <w:i w:val="1"/>
          <w:iCs w:val="1"/>
          <w:color w:val="auto"/>
        </w:rPr>
        <w:t>TP53</w:t>
      </w:r>
      <w:r>
        <w:rPr>
          <w:rFonts w:ascii="Arial" w:cs="Arial" w:eastAsia="Arial" w:hAnsi="Arial"/>
          <w:sz w:val="16"/>
          <w:szCs w:val="16"/>
          <w:color w:val="auto"/>
        </w:rPr>
        <w:t xml:space="preserve"> gene, the most commonly mutated gene in cancer. The Company began operations in 2006. Its principal offices are in Solna, Sweden and Boston, Massachusetts.</w:t>
      </w:r>
    </w:p>
    <w:p>
      <w:pPr>
        <w:spacing w:after="0" w:line="151" w:lineRule="exact"/>
        <w:rPr>
          <w:sz w:val="20"/>
          <w:szCs w:val="20"/>
          <w:color w:val="auto"/>
        </w:rPr>
      </w:pPr>
    </w:p>
    <w:p>
      <w:pPr>
        <w:ind w:right="100" w:firstLine="351"/>
        <w:spacing w:after="0" w:line="262" w:lineRule="auto"/>
        <w:rPr>
          <w:sz w:val="20"/>
          <w:szCs w:val="20"/>
          <w:color w:val="auto"/>
        </w:rPr>
      </w:pPr>
      <w:r>
        <w:rPr>
          <w:rFonts w:ascii="Arial" w:cs="Arial" w:eastAsia="Arial" w:hAnsi="Arial"/>
          <w:sz w:val="18"/>
          <w:szCs w:val="18"/>
          <w:b w:val="1"/>
          <w:bCs w:val="1"/>
          <w:color w:val="auto"/>
        </w:rPr>
        <w:t>Basis of presentation and management plans</w:t>
      </w:r>
      <w:r>
        <w:rPr>
          <w:rFonts w:ascii="Arial" w:cs="Arial" w:eastAsia="Arial" w:hAnsi="Arial"/>
          <w:sz w:val="18"/>
          <w:szCs w:val="18"/>
          <w:color w:val="auto"/>
        </w:rPr>
        <w:t>—The accompanying financial statements are prepared in conformity with accounting principles 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accepted in the United States ("U.S. GAAP"). The accompanying financial statements have been prepared on a going concern basis, which contemplates the realization of assets and the satisfaction of liabilities in the normal course of business.</w:t>
      </w:r>
    </w:p>
    <w:p>
      <w:pPr>
        <w:spacing w:after="0" w:line="192" w:lineRule="exact"/>
        <w:rPr>
          <w:sz w:val="20"/>
          <w:szCs w:val="20"/>
          <w:color w:val="auto"/>
        </w:rPr>
      </w:pPr>
    </w:p>
    <w:p>
      <w:pPr>
        <w:jc w:val="both"/>
        <w:ind w:right="220" w:firstLine="351"/>
        <w:spacing w:after="0" w:line="370" w:lineRule="auto"/>
        <w:rPr>
          <w:sz w:val="20"/>
          <w:szCs w:val="20"/>
          <w:color w:val="auto"/>
        </w:rPr>
      </w:pPr>
      <w:r>
        <w:rPr>
          <w:rFonts w:ascii="Arial" w:cs="Arial" w:eastAsia="Arial" w:hAnsi="Arial"/>
          <w:sz w:val="15"/>
          <w:szCs w:val="15"/>
          <w:color w:val="auto"/>
        </w:rPr>
        <w:t>Since its inception, the Company has devoted substantially all of its efforts to business planning, research and development, recruiting management and technical staff, and raising capital, and has financed its operations through the issuance of convertible preferred stock ("Preferred Stock") and common stock.</w:t>
      </w:r>
    </w:p>
    <w:p>
      <w:pPr>
        <w:spacing w:after="0" w:line="11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 is subject to risks common to companies in the biopharmaceutical industry. There can be no assurance that the Company's research and development will be successfully completed, that adequate protection for the Company's intellectual property will be maintained, that any therapeutic products developed will obtain required regulatory approval or that any approved or consumer products will be commercially viable. Even if the Company's development efforts are successful, it is uncertain when, if ever, the Company will generate significant product sales.</w:t>
      </w:r>
    </w:p>
    <w:p>
      <w:pPr>
        <w:spacing w:after="0" w:line="167"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Company's management believes that the June 30, 2019 cash balance of $60,994,738 will be sufficient to fund the Company's operations into the third quarter of 2021. In the event that additional funds are not available thereafter, management would expect to significantly reduce expenditures to conserve cash, which would involve scaling back or curtailing new development activity.</w:t>
      </w:r>
    </w:p>
    <w:p>
      <w:pPr>
        <w:spacing w:after="0" w:line="194" w:lineRule="exact"/>
        <w:rPr>
          <w:sz w:val="20"/>
          <w:szCs w:val="20"/>
          <w:color w:val="auto"/>
        </w:rPr>
      </w:pPr>
    </w:p>
    <w:p>
      <w:pPr>
        <w:jc w:val="both"/>
        <w:ind w:right="60" w:firstLine="351"/>
        <w:spacing w:after="0" w:line="332" w:lineRule="auto"/>
        <w:rPr>
          <w:sz w:val="20"/>
          <w:szCs w:val="20"/>
          <w:color w:val="auto"/>
        </w:rPr>
      </w:pPr>
      <w:r>
        <w:rPr>
          <w:rFonts w:ascii="Arial" w:cs="Arial" w:eastAsia="Arial" w:hAnsi="Arial"/>
          <w:sz w:val="16"/>
          <w:szCs w:val="16"/>
          <w:color w:val="auto"/>
        </w:rPr>
        <w:t>Prior to its initial public offering, the Company approved a 1-for-1.6045 stock split of the Company's preferred and common stock. All share and per share amounts in the consolidated financial statements and notes thereto have been retroactively adjusted for all periods presented to give effect to this split.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5" w:lineRule="exact"/>
        <w:rPr>
          <w:sz w:val="20"/>
          <w:szCs w:val="20"/>
          <w:color w:val="auto"/>
        </w:rPr>
      </w:pPr>
    </w:p>
    <w:p>
      <w:pPr>
        <w:ind w:firstLine="351"/>
        <w:spacing w:after="0" w:line="339" w:lineRule="auto"/>
        <w:rPr>
          <w:sz w:val="20"/>
          <w:szCs w:val="20"/>
          <w:color w:val="auto"/>
        </w:rPr>
      </w:pPr>
      <w:r>
        <w:rPr>
          <w:rFonts w:ascii="Arial" w:cs="Arial" w:eastAsia="Arial" w:hAnsi="Arial"/>
          <w:sz w:val="15"/>
          <w:szCs w:val="15"/>
          <w:b w:val="1"/>
          <w:bCs w:val="1"/>
          <w:color w:val="auto"/>
        </w:rPr>
        <w:t>Principles of consolidation</w:t>
      </w:r>
      <w:r>
        <w:rPr>
          <w:rFonts w:ascii="Arial" w:cs="Arial" w:eastAsia="Arial" w:hAnsi="Arial"/>
          <w:sz w:val="15"/>
          <w:szCs w:val="15"/>
          <w:color w:val="auto"/>
        </w:rPr>
        <w:t>—The consolidated financial statements include the accounts of Aprea Therapeutics AB and its wholly owned subsidiaries</w:t>
      </w:r>
      <w:r>
        <w:rPr>
          <w:rFonts w:ascii="Arial" w:cs="Arial" w:eastAsia="Arial" w:hAnsi="Arial"/>
          <w:sz w:val="15"/>
          <w:szCs w:val="15"/>
          <w:b w:val="1"/>
          <w:bCs w:val="1"/>
          <w:color w:val="auto"/>
        </w:rPr>
        <w:t xml:space="preserve"> </w:t>
      </w:r>
      <w:r>
        <w:rPr>
          <w:rFonts w:ascii="Arial" w:cs="Arial" w:eastAsia="Arial" w:hAnsi="Arial"/>
          <w:sz w:val="15"/>
          <w:szCs w:val="15"/>
          <w:color w:val="auto"/>
        </w:rPr>
        <w:t>Aprea Personal AB, which was incorporated in May 2009, and Aprea US, Inc., which was incorporated in June 2016. Management has concluded it has a single reporting segment for purposes of reporting financial condition and results of operations. All intercompany transactions and balances have been eliminated.</w:t>
      </w:r>
    </w:p>
    <w:p>
      <w:pPr>
        <w:spacing w:after="0" w:line="133" w:lineRule="exact"/>
        <w:rPr>
          <w:sz w:val="20"/>
          <w:szCs w:val="20"/>
          <w:color w:val="auto"/>
        </w:rPr>
      </w:pPr>
    </w:p>
    <w:p>
      <w:pPr>
        <w:ind w:right="160" w:firstLine="351"/>
        <w:spacing w:after="0" w:line="258" w:lineRule="auto"/>
        <w:rPr>
          <w:sz w:val="20"/>
          <w:szCs w:val="20"/>
          <w:color w:val="auto"/>
        </w:rPr>
      </w:pPr>
      <w:r>
        <w:rPr>
          <w:rFonts w:ascii="Arial" w:cs="Arial" w:eastAsia="Arial" w:hAnsi="Arial"/>
          <w:sz w:val="18"/>
          <w:szCs w:val="18"/>
          <w:b w:val="1"/>
          <w:bCs w:val="1"/>
          <w:color w:val="auto"/>
        </w:rPr>
        <w:t>Unaudited interim condensed consolidated financial statements</w:t>
      </w:r>
      <w:r>
        <w:rPr>
          <w:rFonts w:ascii="Arial" w:cs="Arial" w:eastAsia="Arial" w:hAnsi="Arial"/>
          <w:sz w:val="18"/>
          <w:szCs w:val="18"/>
          <w:color w:val="auto"/>
        </w:rPr>
        <w:t>—The accompanying condensed consolidated balance sheet as of June 30, 2019, the</w:t>
      </w:r>
      <w:r>
        <w:rPr>
          <w:rFonts w:ascii="Arial" w:cs="Arial" w:eastAsia="Arial" w:hAnsi="Arial"/>
          <w:sz w:val="18"/>
          <w:szCs w:val="18"/>
          <w:b w:val="1"/>
          <w:bCs w:val="1"/>
          <w:color w:val="auto"/>
        </w:rPr>
        <w:t xml:space="preserve"> </w:t>
      </w:r>
      <w:r>
        <w:rPr>
          <w:rFonts w:ascii="Arial" w:cs="Arial" w:eastAsia="Arial" w:hAnsi="Arial"/>
          <w:sz w:val="18"/>
          <w:szCs w:val="18"/>
          <w:color w:val="auto"/>
        </w:rPr>
        <w:t>condensed consolidated statements of operations and comprehensive loss and cash flows for the six months ended June 30, 2018 and 2019, and the condensed consolidated statement of convertible preferred stock and stockholders (deficit) equity for the six months ended June 30, 2019 are unaudited. The unaudited condensed consolidated financial</w:t>
      </w:r>
    </w:p>
    <w:p>
      <w:pPr>
        <w:spacing w:after="0" w:line="1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231" w:name="page232"/>
    <w:bookmarkEnd w:id="231"/>
    <w:p>
      <w:pPr>
        <w:jc w:val="center"/>
        <w:ind w:right="-79"/>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statements have been prepared on the same basis as the audited consolidated financial statements, and in management's opinion, include all adjustments, consisting of only normal recurring adjustments, necessary for the fair statement of the Company's financial position as of June 30, 2019 and its results of operations and comprehensive loss and cash flows for six months ended June 30, 2018 and 2019. The financial data and the other financial information disclosed in the notes to these condensed consolidated financial statements related to the six month periods are also unaudited. The results of operations for the six months ended June 30, 2019 are not necessarily indicative of the results to be expected for the full fiscal year or any other period.</w:t>
      </w:r>
    </w:p>
    <w:p>
      <w:pPr>
        <w:spacing w:after="0" w:line="16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—The preparation of financial statements in conformity with U.S. GAAP requires management to make estimates and assumptions that</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reported amounts of assets, liabilities, revenue, and expenses as of and during the reporting period. The Company bases estimates and assumptions on historical experience when available and on various factors that it believes to be reasonable under the circumstances. The Company assesses estimates on an ongoing basis; however, actual results could materially differ from those estimates. Significant items subject to such estimates and assumptions include fair value of common stock and stock based compensation expense.</w:t>
      </w:r>
    </w:p>
    <w:p>
      <w:pPr>
        <w:spacing w:after="0" w:line="193"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b w:val="1"/>
          <w:bCs w:val="1"/>
          <w:color w:val="auto"/>
        </w:rPr>
        <w:t>Unaudited pro forma financial information</w:t>
      </w:r>
      <w:r>
        <w:rPr>
          <w:rFonts w:ascii="Arial" w:cs="Arial" w:eastAsia="Arial" w:hAnsi="Arial"/>
          <w:sz w:val="18"/>
          <w:szCs w:val="18"/>
          <w:color w:val="auto"/>
        </w:rPr>
        <w:t>—The Company is planning an offer and sale by Aprea Therapeutics, Inc., a Delaware corporation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entity, of common stock in an initial public offering (the "IPO"). Prior to the completion of the IPO, pursuant to a corporate reorganization, the Company became a wholly owned subsidiary of Aprea Therapeutics, Inc. In connection with the corporate reorganization, each issued and outstanding share of Series A, Series B and Series C convertible preferred stock of the Company was exchanged on a one for one basis into shares of Series A, Series B and Series C convertible preferred stock of Aprea Therapeutics, Inc.</w:t>
      </w:r>
    </w:p>
    <w:p>
      <w:pPr>
        <w:spacing w:after="0" w:line="199" w:lineRule="exact"/>
        <w:rPr>
          <w:sz w:val="20"/>
          <w:szCs w:val="20"/>
          <w:color w:val="auto"/>
        </w:rPr>
      </w:pPr>
    </w:p>
    <w:p>
      <w:pPr>
        <w:ind w:right="460" w:firstLine="351"/>
        <w:spacing w:after="0" w:line="306" w:lineRule="auto"/>
        <w:rPr>
          <w:sz w:val="20"/>
          <w:szCs w:val="20"/>
          <w:color w:val="auto"/>
        </w:rPr>
      </w:pPr>
      <w:r>
        <w:rPr>
          <w:rFonts w:ascii="Arial" w:cs="Arial" w:eastAsia="Arial" w:hAnsi="Arial"/>
          <w:sz w:val="16"/>
          <w:szCs w:val="16"/>
          <w:color w:val="auto"/>
        </w:rPr>
        <w:t>Each share of common stock of the Company ($0.11 par value) was also exchanged on a one for one basis into shares of common stock of Aprea Therapeutics, Inc. ($0.001 par value). Immediately prior to consummation of the IPO, all outstanding shares of Series A, Series B and Series C convertible preferred stock of Aprea Therapeutics, Inc. will be converted into common stock, on a 1 for 1.6045 basis.</w:t>
      </w:r>
    </w:p>
    <w:p>
      <w:pPr>
        <w:spacing w:after="0" w:line="161"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The accompanying unaudited pro forma balance sheet as of June 30, 2019 has been prepared to give effect to the corporate reorganization and automatic conversion of all outstanding shares of convertible preferred stock into 13,028,292 shares of common stock of Aprea Therapeutics, Inc. as if</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232" w:name="page233"/>
    <w:bookmarkEnd w:id="232"/>
    <w:p>
      <w:pPr>
        <w:jc w:val="center"/>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corporate reorganization and automatic conversion had occurred on June 30, 2019 as illustrated below:</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Series A</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Series B</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Series C</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Additional</w:t>
            </w: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Preferred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Preferred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Preferred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5"/>
              </w:rPr>
              <w:t>Common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Paid-in</w:t>
            </w:r>
          </w:p>
        </w:tc>
      </w:t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w w:val="93"/>
              </w:rPr>
              <w:t>Aprea Therapeutics AB as of June 30, 2019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6,483,044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49,742,942</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61,963,007</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129,974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19,971,732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Adjustments to reflect:</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Exchange of common stock</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(128,792)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128,792</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Exchange and conversion of preferred</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00" w:type="dxa"/>
            <w:vAlign w:val="bottom"/>
          </w:tcPr>
          <w:p>
            <w:pPr>
              <w:ind w:left="340"/>
              <w:spacing w:after="0"/>
              <w:rPr>
                <w:sz w:val="20"/>
                <w:szCs w:val="20"/>
                <w:color w:val="auto"/>
              </w:rPr>
            </w:pPr>
            <w:r>
              <w:rPr>
                <w:rFonts w:ascii="Arial" w:cs="Arial" w:eastAsia="Arial" w:hAnsi="Arial"/>
                <w:sz w:val="18"/>
                <w:szCs w:val="18"/>
                <w:color w:val="auto"/>
              </w:rPr>
              <w:t>stock:</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3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Series A Preferred</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(6,483,044)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6,482,432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340"/>
              <w:spacing w:after="0"/>
              <w:rPr>
                <w:sz w:val="20"/>
                <w:szCs w:val="20"/>
                <w:color w:val="auto"/>
              </w:rPr>
            </w:pPr>
            <w:r>
              <w:rPr>
                <w:rFonts w:ascii="Arial" w:cs="Arial" w:eastAsia="Arial" w:hAnsi="Arial"/>
                <w:sz w:val="18"/>
                <w:szCs w:val="18"/>
                <w:color w:val="auto"/>
              </w:rPr>
              <w:t>Series B Preferred</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(49,742,942)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7,236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49,735,706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Series C Preferred</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(61,963,007)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61,957,827</w:t>
            </w:r>
          </w:p>
        </w:tc>
        <w:tc>
          <w:tcPr>
            <w:tcW w:w="160" w:type="dxa"/>
            <w:vAlign w:val="bottom"/>
            <w:shd w:val="clear" w:color="auto" w:fill="CCEEFF"/>
          </w:tcPr>
          <w:p>
            <w:pPr>
              <w:spacing w:after="0"/>
              <w:rPr>
                <w:sz w:val="18"/>
                <w:szCs w:val="18"/>
                <w:color w:val="auto"/>
              </w:rPr>
            </w:pPr>
          </w:p>
        </w:tc>
      </w:tr>
      <w:tr>
        <w:trPr>
          <w:trHeight w:val="201"/>
        </w:trPr>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w w:val="95"/>
              </w:rPr>
              <w:t>Pro forma of Aprea Therapeutics, Inc. as of</w:t>
            </w: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June 30, 2019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14,210</w:t>
            </w:r>
          </w:p>
        </w:tc>
        <w:tc>
          <w:tcPr>
            <w:tcW w:w="100" w:type="dxa"/>
            <w:vAlign w:val="bottom"/>
          </w:tcPr>
          <w:p>
            <w:pPr>
              <w:spacing w:after="0"/>
              <w:rPr>
                <w:sz w:val="19"/>
                <w:szCs w:val="19"/>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138,276,489</w:t>
            </w:r>
          </w:p>
        </w:tc>
        <w:tc>
          <w:tcPr>
            <w:tcW w:w="1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unaudited pro forma basic and diluted weighted average common shares outstanding used in the calculation of unaudited pro forma basic and diluted net loss per share attributable to common stockholders for the six months ended June 30, 2019 give effect to the automatic conversion of all outstanding shares of convertible preferred stock into shares of common stock as if the conversion had occurred on the later of January 1, 2019 or the issuance date of the convertible preferred stock for the six months ended June 30, 2019.</w:t>
      </w:r>
    </w:p>
    <w:p>
      <w:pPr>
        <w:spacing w:after="0" w:line="19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b w:val="1"/>
          <w:bCs w:val="1"/>
          <w:color w:val="auto"/>
        </w:rPr>
        <w:t>Foreign currency and currency translation</w:t>
      </w:r>
      <w:r>
        <w:rPr>
          <w:rFonts w:ascii="Arial" w:cs="Arial" w:eastAsia="Arial" w:hAnsi="Arial"/>
          <w:sz w:val="18"/>
          <w:szCs w:val="18"/>
          <w:color w:val="auto"/>
        </w:rPr>
        <w:t>—The functional currency for Aprea Therapeutics AB and its wholly owned foreign subsidiary, Aprea Personal</w:t>
      </w:r>
      <w:r>
        <w:rPr>
          <w:rFonts w:ascii="Arial" w:cs="Arial" w:eastAsia="Arial" w:hAnsi="Arial"/>
          <w:sz w:val="18"/>
          <w:szCs w:val="18"/>
          <w:b w:val="1"/>
          <w:bCs w:val="1"/>
          <w:color w:val="auto"/>
        </w:rPr>
        <w:t xml:space="preserve"> </w:t>
      </w:r>
      <w:r>
        <w:rPr>
          <w:rFonts w:ascii="Arial" w:cs="Arial" w:eastAsia="Arial" w:hAnsi="Arial"/>
          <w:sz w:val="18"/>
          <w:szCs w:val="18"/>
          <w:color w:val="auto"/>
        </w:rPr>
        <w:t>AB, is the Swedish Krona. Assets and liabilities of Aprea Therapeutics AB and Aprea Personal AB are translated into United States dollars at the exchange rate in effect on the balance sheet date. Revenues and expenses are translated at the average exchange rate in effect during the period. Unrealized translation gains and losses are recorded as a cumulative translation adjustment, which is included in the consolidated statements of convertible preferred stock and stockholders' deficit as a component of accumulated other comprehensive loss. Adjustments that arise from exchange rate changes on transactions denominated in a currency other than the local currency are included in other income and expense in the condensed consolidated statements of operations and comprehensive loss as incurred.</w:t>
      </w:r>
    </w:p>
    <w:p>
      <w:pPr>
        <w:spacing w:after="0" w:line="195" w:lineRule="exact"/>
        <w:rPr>
          <w:sz w:val="20"/>
          <w:szCs w:val="20"/>
          <w:color w:val="auto"/>
        </w:rPr>
      </w:pPr>
    </w:p>
    <w:p>
      <w:pPr>
        <w:ind w:right="20" w:firstLine="351"/>
        <w:spacing w:after="0" w:line="258" w:lineRule="auto"/>
        <w:rPr>
          <w:sz w:val="20"/>
          <w:szCs w:val="20"/>
          <w:color w:val="auto"/>
        </w:rPr>
      </w:pPr>
      <w:r>
        <w:rPr>
          <w:rFonts w:ascii="Arial" w:cs="Arial" w:eastAsia="Arial" w:hAnsi="Arial"/>
          <w:sz w:val="18"/>
          <w:szCs w:val="18"/>
          <w:b w:val="1"/>
          <w:bCs w:val="1"/>
          <w:color w:val="auto"/>
        </w:rPr>
        <w:t>Concentrations of credit risk</w:t>
      </w:r>
      <w:r>
        <w:rPr>
          <w:rFonts w:ascii="Arial" w:cs="Arial" w:eastAsia="Arial" w:hAnsi="Arial"/>
          <w:sz w:val="18"/>
          <w:szCs w:val="18"/>
          <w:color w:val="auto"/>
        </w:rPr>
        <w:t>—Financial instruments that potentially subject the Company to significant concentration of credit risk consist primarily of</w:t>
      </w:r>
      <w:r>
        <w:rPr>
          <w:rFonts w:ascii="Arial" w:cs="Arial" w:eastAsia="Arial" w:hAnsi="Arial"/>
          <w:sz w:val="18"/>
          <w:szCs w:val="18"/>
          <w:b w:val="1"/>
          <w:bCs w:val="1"/>
          <w:color w:val="auto"/>
        </w:rPr>
        <w:t xml:space="preserve"> </w:t>
      </w:r>
      <w:r>
        <w:rPr>
          <w:rFonts w:ascii="Arial" w:cs="Arial" w:eastAsia="Arial" w:hAnsi="Arial"/>
          <w:sz w:val="18"/>
          <w:szCs w:val="18"/>
          <w:color w:val="auto"/>
        </w:rPr>
        <w:t>cash. Periodically, the Company may maintain deposits in financial institutions in excess of government insured limits. Management believes that the Company is not exposed to significant credit risk as the Company's deposits are held at financial institutions that management believes to be of high credit quality, and the Company has not experienced any losses on these deposits.</w:t>
      </w:r>
    </w:p>
    <w:p>
      <w:pPr>
        <w:spacing w:after="0" w:line="190" w:lineRule="exact"/>
        <w:rPr>
          <w:sz w:val="20"/>
          <w:szCs w:val="20"/>
          <w:color w:val="auto"/>
        </w:rPr>
      </w:pPr>
    </w:p>
    <w:p>
      <w:pPr>
        <w:ind w:right="20" w:firstLine="351"/>
        <w:spacing w:after="0" w:line="275"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—The Company considers all highly liquid investments with original maturities of three months or less at the date of purchase to</w:t>
      </w:r>
      <w:r>
        <w:rPr>
          <w:rFonts w:ascii="Arial" w:cs="Arial" w:eastAsia="Arial" w:hAnsi="Arial"/>
          <w:sz w:val="18"/>
          <w:szCs w:val="18"/>
          <w:b w:val="1"/>
          <w:bCs w:val="1"/>
          <w:color w:val="auto"/>
        </w:rPr>
        <w:t xml:space="preserve"> </w:t>
      </w:r>
      <w:r>
        <w:rPr>
          <w:rFonts w:ascii="Arial" w:cs="Arial" w:eastAsia="Arial" w:hAnsi="Arial"/>
          <w:sz w:val="18"/>
          <w:szCs w:val="18"/>
          <w:color w:val="auto"/>
        </w:rPr>
        <w:t>be cash equivalents.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3" w:name="page234"/>
    <w:bookmarkEnd w:id="233"/>
    <w:p>
      <w:pPr>
        <w:jc w:val="center"/>
        <w:ind w:right="-39"/>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25" w:lineRule="exact"/>
        <w:rPr>
          <w:sz w:val="20"/>
          <w:szCs w:val="20"/>
          <w:color w:val="auto"/>
        </w:rPr>
      </w:pPr>
    </w:p>
    <w:p>
      <w:pPr>
        <w:jc w:val="both"/>
        <w:ind w:right="160" w:firstLine="351"/>
        <w:spacing w:after="0" w:line="310" w:lineRule="auto"/>
        <w:rPr>
          <w:sz w:val="20"/>
          <w:szCs w:val="20"/>
          <w:color w:val="auto"/>
        </w:rPr>
      </w:pPr>
      <w:r>
        <w:rPr>
          <w:rFonts w:ascii="Arial" w:cs="Arial" w:eastAsia="Arial" w:hAnsi="Arial"/>
          <w:sz w:val="16"/>
          <w:szCs w:val="16"/>
          <w:b w:val="1"/>
          <w:bCs w:val="1"/>
          <w:color w:val="auto"/>
        </w:rPr>
        <w:t>Deferred offering costs</w:t>
      </w:r>
      <w:r>
        <w:rPr>
          <w:rFonts w:ascii="Arial" w:cs="Arial" w:eastAsia="Arial" w:hAnsi="Arial"/>
          <w:sz w:val="16"/>
          <w:szCs w:val="16"/>
          <w:color w:val="auto"/>
        </w:rPr>
        <w:t>—The Company capitalizes deferred IPO costs, which primarily consist of direct, incremental legal, professional, accounting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third-party fees relating to the Company's initial public offering. The deferred IPO costs will be offset against IPO proceeds upon the consummation of an offering. There were $0 and $624,624 of deferred IPO costs as of December 31, 2018 and June 30, 2019, respectively.</w:t>
      </w:r>
    </w:p>
    <w:p>
      <w:pPr>
        <w:spacing w:after="0" w:line="15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—Property and equipment are recorded at cost. Expenditures for repairs and maintenance are expensed as incurred. When assets</w:t>
      </w:r>
      <w:r>
        <w:rPr>
          <w:rFonts w:ascii="Arial" w:cs="Arial" w:eastAsia="Arial" w:hAnsi="Arial"/>
          <w:sz w:val="18"/>
          <w:szCs w:val="18"/>
          <w:b w:val="1"/>
          <w:bCs w:val="1"/>
          <w:color w:val="auto"/>
        </w:rPr>
        <w:t xml:space="preserve"> </w:t>
      </w:r>
      <w:r>
        <w:rPr>
          <w:rFonts w:ascii="Arial" w:cs="Arial" w:eastAsia="Arial" w:hAnsi="Arial"/>
          <w:sz w:val="18"/>
          <w:szCs w:val="18"/>
          <w:color w:val="auto"/>
        </w:rPr>
        <w:t>are retired or disposed of, the assets and related accumulated depreciation are eliminated from the accounts, and any resulting gain or loss is included in the determination of net income or loss. Fixed assets acquired for research and development purposes are assessed for alternative future use. Depreciation is provided using the straight-line method over the estimated useful lives of the related assets. Leasehold improvements are amortized over the shorter of the lease term or the estimated useful life of the asset.</w:t>
      </w:r>
    </w:p>
    <w:p>
      <w:pPr>
        <w:spacing w:after="0" w:line="19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080" w:type="dxa"/>
            <w:vAlign w:val="bottom"/>
            <w:gridSpan w:val="3"/>
          </w:tcPr>
          <w:p>
            <w:pPr>
              <w:spacing w:after="0"/>
              <w:rPr>
                <w:sz w:val="20"/>
                <w:szCs w:val="20"/>
                <w:color w:val="auto"/>
              </w:rPr>
            </w:pPr>
            <w:r>
              <w:rPr>
                <w:rFonts w:ascii="Arial" w:cs="Arial" w:eastAsia="Arial" w:hAnsi="Arial"/>
                <w:sz w:val="14"/>
                <w:szCs w:val="14"/>
                <w:b w:val="1"/>
                <w:bCs w:val="1"/>
                <w:color w:val="auto"/>
              </w:rPr>
              <w:t>Asset category</w:t>
            </w:r>
          </w:p>
        </w:tc>
        <w:tc>
          <w:tcPr>
            <w:tcW w:w="1900" w:type="dxa"/>
            <w:vAlign w:val="bottom"/>
          </w:tcPr>
          <w:p>
            <w:pPr>
              <w:ind w:left="360"/>
              <w:spacing w:after="0"/>
              <w:rPr>
                <w:sz w:val="20"/>
                <w:szCs w:val="20"/>
                <w:color w:val="auto"/>
              </w:rPr>
            </w:pPr>
            <w:r>
              <w:rPr>
                <w:rFonts w:ascii="Arial" w:cs="Arial" w:eastAsia="Arial" w:hAnsi="Arial"/>
                <w:sz w:val="14"/>
                <w:szCs w:val="14"/>
                <w:b w:val="1"/>
                <w:bCs w:val="1"/>
                <w:color w:val="auto"/>
              </w:rPr>
              <w:t>Estimated useful life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1900" w:type="dxa"/>
            <w:vAlign w:val="bottom"/>
          </w:tcPr>
          <w:p>
            <w:pPr>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Laboratory equipment and office furniture</w:t>
            </w: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900" w:type="dxa"/>
            <w:vAlign w:val="bottom"/>
          </w:tcPr>
          <w:p>
            <w:pPr>
              <w:spacing w:after="0"/>
              <w:rPr>
                <w:sz w:val="20"/>
                <w:szCs w:val="20"/>
                <w:color w:val="auto"/>
              </w:rPr>
            </w:pPr>
            <w:r>
              <w:rPr>
                <w:rFonts w:ascii="Arial" w:cs="Arial" w:eastAsia="Arial" w:hAnsi="Arial"/>
                <w:sz w:val="18"/>
                <w:szCs w:val="18"/>
                <w:color w:val="auto"/>
                <w:w w:val="95"/>
              </w:rPr>
              <w:t>Remainder of lease term</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60" w:firstLine="351"/>
        <w:spacing w:after="0" w:line="296" w:lineRule="auto"/>
        <w:rPr>
          <w:sz w:val="20"/>
          <w:szCs w:val="20"/>
          <w:color w:val="auto"/>
        </w:rPr>
      </w:pPr>
      <w:r>
        <w:rPr>
          <w:rFonts w:ascii="Arial" w:cs="Arial" w:eastAsia="Arial" w:hAnsi="Arial"/>
          <w:sz w:val="16"/>
          <w:szCs w:val="16"/>
          <w:b w:val="1"/>
          <w:bCs w:val="1"/>
          <w:color w:val="auto"/>
        </w:rPr>
        <w:t>Impairment of long-lived assets</w:t>
      </w:r>
      <w:r>
        <w:rPr>
          <w:rFonts w:ascii="Arial" w:cs="Arial" w:eastAsia="Arial" w:hAnsi="Arial"/>
          <w:sz w:val="16"/>
          <w:szCs w:val="16"/>
          <w:color w:val="auto"/>
        </w:rPr>
        <w:t>—Periodically, the Company evaluates its long-lived assets, which consist primarily of property and equipment, for</w:t>
      </w:r>
      <w:r>
        <w:rPr>
          <w:rFonts w:ascii="Arial" w:cs="Arial" w:eastAsia="Arial" w:hAnsi="Arial"/>
          <w:sz w:val="16"/>
          <w:szCs w:val="16"/>
          <w:b w:val="1"/>
          <w:bCs w:val="1"/>
          <w:color w:val="auto"/>
        </w:rPr>
        <w:t xml:space="preserve"> </w:t>
      </w:r>
      <w:r>
        <w:rPr>
          <w:rFonts w:ascii="Arial" w:cs="Arial" w:eastAsia="Arial" w:hAnsi="Arial"/>
          <w:sz w:val="16"/>
          <w:szCs w:val="16"/>
          <w:color w:val="auto"/>
        </w:rPr>
        <w:t>impairment whenever events or changes in circumstances indicate that the carrying amount of such assets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by the amount by which the carrying amount of the asset exceeds the fair value of the asset. To date, no impairments have occurred.</w:t>
      </w:r>
    </w:p>
    <w:p>
      <w:pPr>
        <w:spacing w:after="0" w:line="162" w:lineRule="exact"/>
        <w:rPr>
          <w:sz w:val="20"/>
          <w:szCs w:val="20"/>
          <w:color w:val="auto"/>
        </w:rPr>
      </w:pPr>
    </w:p>
    <w:p>
      <w:pPr>
        <w:ind w:right="140" w:firstLine="351"/>
        <w:spacing w:after="0" w:line="320" w:lineRule="auto"/>
        <w:rPr>
          <w:sz w:val="20"/>
          <w:szCs w:val="20"/>
          <w:color w:val="auto"/>
        </w:rPr>
      </w:pPr>
      <w:r>
        <w:rPr>
          <w:rFonts w:ascii="Arial" w:cs="Arial" w:eastAsia="Arial" w:hAnsi="Arial"/>
          <w:sz w:val="15"/>
          <w:szCs w:val="15"/>
          <w:b w:val="1"/>
          <w:bCs w:val="1"/>
          <w:color w:val="auto"/>
        </w:rPr>
        <w:t>Fair value of financial instruments</w:t>
      </w:r>
      <w:r>
        <w:rPr>
          <w:rFonts w:ascii="Arial" w:cs="Arial" w:eastAsia="Arial" w:hAnsi="Arial"/>
          <w:sz w:val="15"/>
          <w:szCs w:val="15"/>
          <w:color w:val="auto"/>
        </w:rPr>
        <w:t>—The accounting standard for fair value measurements provides a framework for measuring fair value and requires</w:t>
      </w:r>
      <w:r>
        <w:rPr>
          <w:rFonts w:ascii="Arial" w:cs="Arial" w:eastAsia="Arial" w:hAnsi="Arial"/>
          <w:sz w:val="15"/>
          <w:szCs w:val="15"/>
          <w:b w:val="1"/>
          <w:bCs w:val="1"/>
          <w:color w:val="auto"/>
        </w:rPr>
        <w:t xml:space="preserve"> </w:t>
      </w:r>
      <w:r>
        <w:rPr>
          <w:rFonts w:ascii="Arial" w:cs="Arial" w:eastAsia="Arial" w:hAnsi="Arial"/>
          <w:sz w:val="15"/>
          <w:szCs w:val="15"/>
          <w:color w:val="auto"/>
        </w:rPr>
        <w:t>expanded disclosures regarding fair value measurements. Fair value is defined as the price that would be received upon sale of an asset or paid to transfer a liability between market participants at measurement dates. ASC Topic 820, Fair Value Measurement ("ASC 820"), establishes a three-level valuation hierarchy for instruments measured at fair value. The hierarchy is based on the transparency of inputs to the valuation of an asset or liability as of the measurement date. The hierarchy defines three levels of valuation inputs, of which the first two are considered observable and the last is considered unobservable:</w:t>
      </w:r>
    </w:p>
    <w:p>
      <w:pPr>
        <w:spacing w:after="0" w:line="166" w:lineRule="exact"/>
        <w:rPr>
          <w:sz w:val="20"/>
          <w:szCs w:val="20"/>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Level 1 inputs: Quoted prices in active markets for identical assets or liabilities.</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Level 2 inputs: Inputs other than quoted prices included within Level 1 that are either directly or indirectly observable, such as quoted market prices, interest rates and yield curves.</w:t>
      </w:r>
    </w:p>
    <w:p>
      <w:pPr>
        <w:spacing w:after="0" w:line="199"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Level 3 inputs: Unobservable inputs developed using estimates or assumptions developed by the Company, which reflect those that a market participant would use in pricing the asset or liability.</w:t>
      </w:r>
    </w:p>
    <w:p>
      <w:pPr>
        <w:spacing w:after="0" w:line="186"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34" w:name="page235"/>
    <w:bookmarkEnd w:id="234"/>
    <w:p>
      <w:pPr>
        <w:jc w:val="center"/>
        <w:ind w:right="-39"/>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6"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Company's financial instruments consist of accounts payable. The carrying amount of accounts payable is considered a reasonable estimate of fair value due to the short-term maturity.</w:t>
      </w:r>
    </w:p>
    <w:p>
      <w:pPr>
        <w:spacing w:after="0" w:line="180" w:lineRule="exact"/>
        <w:rPr>
          <w:sz w:val="20"/>
          <w:szCs w:val="20"/>
          <w:color w:val="auto"/>
        </w:rPr>
      </w:pPr>
    </w:p>
    <w:p>
      <w:pPr>
        <w:ind w:right="160" w:firstLine="351"/>
        <w:spacing w:after="0" w:line="296" w:lineRule="auto"/>
        <w:rPr>
          <w:sz w:val="20"/>
          <w:szCs w:val="20"/>
          <w:color w:val="auto"/>
        </w:rPr>
      </w:pPr>
      <w:r>
        <w:rPr>
          <w:rFonts w:ascii="Arial" w:cs="Arial" w:eastAsia="Arial" w:hAnsi="Arial"/>
          <w:sz w:val="16"/>
          <w:szCs w:val="16"/>
          <w:b w:val="1"/>
          <w:bCs w:val="1"/>
          <w:color w:val="auto"/>
        </w:rPr>
        <w:t>Convertible preferred stock</w:t>
      </w:r>
      <w:r>
        <w:rPr>
          <w:rFonts w:ascii="Arial" w:cs="Arial" w:eastAsia="Arial" w:hAnsi="Arial"/>
          <w:sz w:val="16"/>
          <w:szCs w:val="16"/>
          <w:color w:val="auto"/>
        </w:rPr>
        <w:t>—The Company has classified convertible preferred stock ("Preferred Stock") as temporary equity in the accompanying</w:t>
      </w:r>
      <w:r>
        <w:rPr>
          <w:rFonts w:ascii="Arial" w:cs="Arial" w:eastAsia="Arial" w:hAnsi="Arial"/>
          <w:sz w:val="16"/>
          <w:szCs w:val="16"/>
          <w:b w:val="1"/>
          <w:bCs w:val="1"/>
          <w:color w:val="auto"/>
        </w:rPr>
        <w:t xml:space="preserve"> </w:t>
      </w:r>
      <w:r>
        <w:rPr>
          <w:rFonts w:ascii="Arial" w:cs="Arial" w:eastAsia="Arial" w:hAnsi="Arial"/>
          <w:sz w:val="16"/>
          <w:szCs w:val="16"/>
          <w:color w:val="auto"/>
        </w:rPr>
        <w:t>balance sheets due to certain change in control events that are outside of the Company's control, including sale or transfer of control of the Company, as holders of the Preferred Stock could cause redemption of the shares in these situations. The Company does not accrete the carrying values of the Preferred Stock to the redemption values since a liquidation event was not considered probable as of June 30, 2019. Subsequent adjustments of the carrying values to the ultimate redemption values will be made only if it becomes probable that such a liquidation event will occur.</w:t>
      </w:r>
    </w:p>
    <w:p>
      <w:pPr>
        <w:spacing w:after="0" w:line="162"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b w:val="1"/>
          <w:bCs w:val="1"/>
          <w:color w:val="auto"/>
        </w:rPr>
        <w:t>Accounting for leases</w:t>
      </w:r>
      <w:r>
        <w:rPr>
          <w:rFonts w:ascii="Arial" w:cs="Arial" w:eastAsia="Arial" w:hAnsi="Arial"/>
          <w:sz w:val="16"/>
          <w:szCs w:val="16"/>
          <w:color w:val="auto"/>
        </w:rPr>
        <w:t>—In February 2016, the Financial Accounting Standards Board ("FASB") issued Accounting Standards Update ("ASU") No. 2016 02,</w:t>
      </w:r>
      <w:r>
        <w:rPr>
          <w:rFonts w:ascii="Arial" w:cs="Arial" w:eastAsia="Arial" w:hAnsi="Arial"/>
          <w:sz w:val="16"/>
          <w:szCs w:val="16"/>
          <w:b w:val="1"/>
          <w:bCs w:val="1"/>
          <w:color w:val="auto"/>
        </w:rPr>
        <w:t xml:space="preserve"> </w:t>
      </w:r>
      <w:r>
        <w:rPr>
          <w:rFonts w:ascii="Arial" w:cs="Arial" w:eastAsia="Arial" w:hAnsi="Arial"/>
          <w:sz w:val="16"/>
          <w:szCs w:val="16"/>
          <w:color w:val="auto"/>
        </w:rPr>
        <w:t>"Leases" ("ASC 842") to enhance the transparency and comparability of financial reporting related to leasing arrangements. Under this new lease standard, most leases are required to be recognized on the balance sheet as right-of-use assets and lease liabilities. Disclosure requirements have been enhanced with the objective of enabling financial statement users to assess the amount, timing, and uncertainty of cash flows arising from leases. Prior to January 1, 2019, GAAP did not require lessees to recognize assets and liabilities related to operating leases on the balance sheet. The new standard establishes a right-of-use ("ROU") model that requires a lessee to recognize a ROU asset and corresponding lease liability on the balance sheet for all leases with a term longer than 12 months. Leases will be classified as finance or operating, with classification affecting the pattern and classification of expense recognition in the income statement as well as the reduction of the right of use asset.</w:t>
      </w:r>
    </w:p>
    <w:p>
      <w:pPr>
        <w:spacing w:after="0" w:line="172"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Company has adopted the standard effective January 1, 2019, using the modified retrospective method. The new standard provides a number of optional practical expedients in transition. The Company has elected to apply the 'package of practical expedients' which allow us to not reassess (i) whether existing or expired arrangements contain a lease, (ii) the lease classification of existing or expired leases, or (iii) whether previous initial direct costs would qualify for capitalization under the new lease standard. The Company has also elected to apply (i) the practical expedient which allows us to not separate lease and non-lease components, for new leases entered into after adoption and (ii) the short-term lease exemption for all leases with an original term of less than 12 months, for purposes of applying the recognition and measurements requirements in the new standard. For the impact to the Company's consolidated financial statement upon adoption of the new leasing standard, see Note 3 to our unaudited condensed consolidated financial statements.</w:t>
      </w:r>
    </w:p>
    <w:p>
      <w:pPr>
        <w:spacing w:after="0" w:line="172"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At the inception of an arrangement, the Company determines whether the arrangement is or contains a lease based on specific facts and circumstances, the existence of an identified asset(s), if any, and the Company's control over the use of the identified asset(s), if applicable. Operating lease liabilities and their corresponding right-of-use assets are recorded based on the present value of future lease payments over the expected lease term. The interest rate implicit in lease contracts is typically not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35" w:name="page236"/>
    <w:bookmarkEnd w:id="235"/>
    <w:p>
      <w:pPr>
        <w:jc w:val="center"/>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readily determinable. As such, the Company will utilize the incremental borrowing rate, which is the rate incurred to borrow on a collateralized basis over a similar term an amount equal to the lease payments in a similar economic environment. As of the ASC 842 effective date, the Company's incremental borrowing rate is approximately 4.3% based on the remaining lease term of the applicable leases.</w:t>
      </w:r>
    </w:p>
    <w:p>
      <w:pPr>
        <w:spacing w:after="0" w:line="194" w:lineRule="exact"/>
        <w:rPr>
          <w:sz w:val="20"/>
          <w:szCs w:val="20"/>
          <w:color w:val="auto"/>
        </w:rPr>
      </w:pPr>
    </w:p>
    <w:p>
      <w:pPr>
        <w:jc w:val="both"/>
        <w:ind w:right="300" w:firstLine="348"/>
        <w:spacing w:after="0" w:line="306" w:lineRule="auto"/>
        <w:rPr>
          <w:sz w:val="20"/>
          <w:szCs w:val="20"/>
          <w:color w:val="auto"/>
        </w:rPr>
      </w:pPr>
      <w:r>
        <w:rPr>
          <w:rFonts w:ascii="Arial" w:cs="Arial" w:eastAsia="Arial" w:hAnsi="Arial"/>
          <w:sz w:val="16"/>
          <w:szCs w:val="16"/>
          <w:color w:val="auto"/>
        </w:rPr>
        <w:t>The Company has elected not to separate lease and non-lease components as a single component. Operating leases are recognized on the balance sheet as ROU lease assets, lease liabilities current and lease liabilities non-current. Fixed rents are included in the calculation of the lease balances while variable costs paid for certain operating and pass-through costs are excluded. Lease expense is recognized over the expected term on a straight-line basis.</w:t>
      </w:r>
    </w:p>
    <w:p>
      <w:pPr>
        <w:spacing w:after="0" w:line="155"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Research and development costs</w:t>
      </w:r>
      <w:r>
        <w:rPr>
          <w:rFonts w:ascii="Arial" w:cs="Arial" w:eastAsia="Arial" w:hAnsi="Arial"/>
          <w:sz w:val="16"/>
          <w:szCs w:val="16"/>
          <w:color w:val="auto"/>
        </w:rPr>
        <w:t>—Research and development costs are charged to expense as incurred. Research and development expense consists of</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incurred in performing research and development activities, including salaries and benefits, materials and supplies, preclinical expenses, stock-based compensation expense, depreciation of equipment, contract services, and other outside expenses. Costs for certain development activities are recognized based on an evaluation of the progress to completion of specific tasks using or information provided to the Company by its vendors on their actual costs incurred. Payments for these activities are based on the terms of the individual arrangements, which may differ from the pattern of costs incurred, and are reflected in the financial statements as prepaid or accrued expense.</w:t>
      </w:r>
    </w:p>
    <w:p>
      <w:pPr>
        <w:spacing w:after="0" w:line="165" w:lineRule="exact"/>
        <w:rPr>
          <w:sz w:val="20"/>
          <w:szCs w:val="20"/>
          <w:color w:val="auto"/>
        </w:rPr>
      </w:pPr>
    </w:p>
    <w:p>
      <w:pPr>
        <w:ind w:right="80" w:firstLine="351"/>
        <w:spacing w:after="0" w:line="275" w:lineRule="auto"/>
        <w:rPr>
          <w:sz w:val="20"/>
          <w:szCs w:val="20"/>
          <w:color w:val="auto"/>
        </w:rPr>
      </w:pPr>
      <w:r>
        <w:rPr>
          <w:rFonts w:ascii="Arial" w:cs="Arial" w:eastAsia="Arial" w:hAnsi="Arial"/>
          <w:sz w:val="18"/>
          <w:szCs w:val="18"/>
          <w:b w:val="1"/>
          <w:bCs w:val="1"/>
          <w:color w:val="auto"/>
        </w:rPr>
        <w:t>Patent costs</w:t>
      </w:r>
      <w:r>
        <w:rPr>
          <w:rFonts w:ascii="Arial" w:cs="Arial" w:eastAsia="Arial" w:hAnsi="Arial"/>
          <w:sz w:val="18"/>
          <w:szCs w:val="18"/>
          <w:color w:val="auto"/>
        </w:rPr>
        <w:t>—All patent-related costs incurred in connection with filing and prosecuting patent applications are expensed as incurred due to the uncertainty</w:t>
      </w:r>
      <w:r>
        <w:rPr>
          <w:rFonts w:ascii="Arial" w:cs="Arial" w:eastAsia="Arial" w:hAnsi="Arial"/>
          <w:sz w:val="18"/>
          <w:szCs w:val="18"/>
          <w:b w:val="1"/>
          <w:bCs w:val="1"/>
          <w:color w:val="auto"/>
        </w:rPr>
        <w:t xml:space="preserve"> </w:t>
      </w:r>
      <w:r>
        <w:rPr>
          <w:rFonts w:ascii="Arial" w:cs="Arial" w:eastAsia="Arial" w:hAnsi="Arial"/>
          <w:sz w:val="18"/>
          <w:szCs w:val="18"/>
          <w:color w:val="auto"/>
        </w:rPr>
        <w:t>about the recovery of the expenditure. Amounts incurred are classified as general and administrative expenses.</w:t>
      </w:r>
    </w:p>
    <w:p>
      <w:pPr>
        <w:spacing w:after="0" w:line="174" w:lineRule="exact"/>
        <w:rPr>
          <w:sz w:val="20"/>
          <w:szCs w:val="20"/>
          <w:color w:val="auto"/>
        </w:rPr>
      </w:pPr>
    </w:p>
    <w:p>
      <w:pPr>
        <w:ind w:right="140" w:firstLine="351"/>
        <w:spacing w:after="0" w:line="258" w:lineRule="auto"/>
        <w:rPr>
          <w:sz w:val="20"/>
          <w:szCs w:val="20"/>
          <w:color w:val="auto"/>
        </w:rPr>
      </w:pPr>
      <w:r>
        <w:rPr>
          <w:rFonts w:ascii="Arial" w:cs="Arial" w:eastAsia="Arial" w:hAnsi="Arial"/>
          <w:sz w:val="18"/>
          <w:szCs w:val="18"/>
          <w:b w:val="1"/>
          <w:bCs w:val="1"/>
          <w:color w:val="auto"/>
        </w:rPr>
        <w:t>Stock-based compensation</w:t>
      </w:r>
      <w:r>
        <w:rPr>
          <w:rFonts w:ascii="Arial" w:cs="Arial" w:eastAsia="Arial" w:hAnsi="Arial"/>
          <w:sz w:val="18"/>
          <w:szCs w:val="18"/>
          <w:color w:val="auto"/>
        </w:rPr>
        <w:t>—The Company measures stock options and other stock based awards granted to employees and directors based on their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on the date of the grant and recognize compensation expense of those awards, net of estimated forfeitures, over the requisite service period, which is generally the vesting period of the respective award. The Company applies the straight-line method of expense recognition to all awards with only service based vesting conditions.</w:t>
      </w:r>
    </w:p>
    <w:p>
      <w:pPr>
        <w:spacing w:after="0" w:line="196" w:lineRule="exact"/>
        <w:rPr>
          <w:sz w:val="20"/>
          <w:szCs w:val="20"/>
          <w:color w:val="auto"/>
        </w:rPr>
      </w:pPr>
    </w:p>
    <w:p>
      <w:pPr>
        <w:ind w:right="340" w:firstLine="351"/>
        <w:spacing w:after="0" w:line="255" w:lineRule="auto"/>
        <w:rPr>
          <w:sz w:val="20"/>
          <w:szCs w:val="20"/>
          <w:color w:val="auto"/>
        </w:rPr>
      </w:pPr>
      <w:r>
        <w:rPr>
          <w:rFonts w:ascii="Arial" w:cs="Arial" w:eastAsia="Arial" w:hAnsi="Arial"/>
          <w:sz w:val="18"/>
          <w:szCs w:val="18"/>
          <w:color w:val="auto"/>
        </w:rPr>
        <w:t>For stock based awards granted to non-employees, compensation expense is recognized over the period during which services are rendered by such non-employees until completed in accordance with the FASB issued ASU No. 2018-07, Compensation Stock Compensation (Topic 718): Improvements to Nonemployee Share Based Payment Accounting. The new standard largely aligns the accounting for share based payment awards issued to employees and nonemployees by expanding the scope of ASC 718 to apply to nonemployee share based transactions, as long as the transaction is not effectively a form of financing.</w:t>
      </w:r>
    </w:p>
    <w:p>
      <w:pPr>
        <w:spacing w:after="0" w:line="197"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The Company estimates the fair value of each stock option grant on the date of grant using the Black Scholes option pricing model, which uses as inputs the fair value of the Company's common stock and assumptions the Company makes for the volatility of its common stock, the expected term of its stock options, the risk free interest rate for a period that approximates the expected term of its stock options and its expected dividend yield.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6" w:name="page237"/>
    <w:bookmarkEnd w:id="236"/>
    <w:p>
      <w:pPr>
        <w:jc w:val="center"/>
        <w:ind w:right="-79"/>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Fair Value of Common Stock</w:t>
      </w:r>
    </w:p>
    <w:p>
      <w:pPr>
        <w:spacing w:after="0" w:line="225" w:lineRule="exact"/>
        <w:rPr>
          <w:sz w:val="20"/>
          <w:szCs w:val="20"/>
          <w:color w:val="auto"/>
        </w:rPr>
      </w:pPr>
    </w:p>
    <w:p>
      <w:pPr>
        <w:ind w:right="20" w:firstLine="341"/>
        <w:spacing w:after="0" w:line="254" w:lineRule="auto"/>
        <w:rPr>
          <w:sz w:val="20"/>
          <w:szCs w:val="20"/>
          <w:color w:val="auto"/>
        </w:rPr>
      </w:pPr>
      <w:r>
        <w:rPr>
          <w:rFonts w:ascii="Arial" w:cs="Arial" w:eastAsia="Arial" w:hAnsi="Arial"/>
          <w:sz w:val="18"/>
          <w:szCs w:val="18"/>
          <w:color w:val="auto"/>
        </w:rPr>
        <w:t>As there has been no public market for the Company's common stock to date, the estimated fair value of its common stock has been determined by its board of directors as of the date of each option grant, with input from management, considering the Company's most recently available third party valuations of common stock and its board of directors' assessment of additional objective and subjective factors that it believed were relevant and which may have changed from the date of the most recent valuation through the date of the grant. These third party valuations were performed in accordance with the guidance outlined in the American Institute of Certified Public Accountants' Accounting and Valuation Guide, Valuation of Privately Held Company Equity Securities Issued as Compensation.</w:t>
      </w:r>
    </w:p>
    <w:p>
      <w:pPr>
        <w:spacing w:after="0" w:line="198"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Company's common stock valuations were prepared using a hybrid method, which used market approaches to estimate its enterprise value. The hybrid method is a probability weighed expected return method, or PWERM, where the equity value in one or more scenarios is calculated using an option pricing method, or OPM.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 at the time of the liquidity event, such as a strategic sale or a merger. The PWERM is a scenario based methodology that estimates the fair value of common stock based upon an analysis of future values for the company, assuming various outcomes. The common stock value is based on the probability weighted present value of expected future investment returns considering each of the possible outcomes available as well as the rights of each class of stock. The future value of the common stock under each outcome is discounted back to the valuation date at an appropriate risk adjusted discount rate and probability weighted to arrive at an indication of value for the common stock. These third party valuations were performed at various dates, which resulted in valuations of the Company's common stock of $0.92 per share as of May 31, 2016, $1.01 per share as of October 2, 2017 and $3.18 per share as of December 31, 2018.</w:t>
      </w:r>
    </w:p>
    <w:p>
      <w:pPr>
        <w:spacing w:after="0" w:line="18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addition to considering the results of these third-party valuations, the Company's board of directors considered various objective and subjective factors to determine the fair value of its common stock as of each grant date, including:</w:t>
      </w:r>
    </w:p>
    <w:p>
      <w:pPr>
        <w:spacing w:after="0" w:line="199" w:lineRule="exact"/>
        <w:rPr>
          <w:sz w:val="20"/>
          <w:szCs w:val="20"/>
          <w:color w:val="auto"/>
        </w:rPr>
      </w:pPr>
    </w:p>
    <w:p>
      <w:pPr>
        <w:ind w:left="1080" w:right="56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prices at which the Company sold shares of preferred stock and the superior rights and preferences of the preferred stock relative to its common stock at the time of each grant;</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progress of the Company's research and development programs, including the status and results of preclinical studies and clinical trials for its product candidates;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Company's stage of development and commercialization and its business strategy;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external market conditions affecting the biopharmaceutical industry and trends within the biopharmaceutical industry;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Company's financial position, including cash on hand, and its historical and forecasted performance and operating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lack of an active public market for the Company's common stock and its preferred stock;</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237" w:name="page238"/>
    <w:bookmarkEnd w:id="237"/>
    <w:p>
      <w:pPr>
        <w:jc w:val="center"/>
        <w:ind w:right="-99"/>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ind w:left="180" w:hanging="172"/>
        <w:spacing w:after="0"/>
        <w:tabs>
          <w:tab w:leader="none" w:pos="18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44" w:lineRule="exact"/>
        <w:rPr>
          <w:rFonts w:ascii="Arial" w:cs="Arial" w:eastAsia="Arial" w:hAnsi="Arial"/>
          <w:sz w:val="18"/>
          <w:szCs w:val="18"/>
          <w:b w:val="1"/>
          <w:bCs w:val="1"/>
          <w:color w:val="auto"/>
        </w:rPr>
      </w:pPr>
    </w:p>
    <w:p>
      <w:pPr>
        <w:ind w:left="1080" w:right="500" w:hanging="532"/>
        <w:spacing w:after="0" w:line="268" w:lineRule="auto"/>
        <w:tabs>
          <w:tab w:leader="none" w:pos="10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IPO, or sale of the Company in light of prevailing market conditions;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analysis of IPOs and the market performance of similar companies in the biopharmaceutical industry.</w:t>
      </w:r>
    </w:p>
    <w:p>
      <w:pPr>
        <w:spacing w:after="0" w:line="225"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assumptions underlying these valuations represented management's best estimate, which involved inherent uncertainties and the application of management's judgment. As a result, if the Company had used significantly different assumptions or estimates, the fair value of its common stock and its stock-based compensation expense could have been materially different.</w:t>
      </w:r>
    </w:p>
    <w:p>
      <w:pPr>
        <w:spacing w:after="0" w:line="188"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b w:val="1"/>
          <w:bCs w:val="1"/>
          <w:color w:val="auto"/>
        </w:rPr>
        <w:t>Income taxes</w:t>
      </w:r>
      <w:r>
        <w:rPr>
          <w:rFonts w:ascii="Arial" w:cs="Arial" w:eastAsia="Arial" w:hAnsi="Arial"/>
          <w:sz w:val="16"/>
          <w:szCs w:val="16"/>
          <w:color w:val="auto"/>
        </w:rPr>
        <w:t>—The Company accounts for income tax in accordance with ASC 740-10, Income Taxes ("ASC 740-10"), which requires the recognition of</w:t>
      </w:r>
      <w:r>
        <w:rPr>
          <w:rFonts w:ascii="Arial" w:cs="Arial" w:eastAsia="Arial" w:hAnsi="Arial"/>
          <w:sz w:val="16"/>
          <w:szCs w:val="16"/>
          <w:b w:val="1"/>
          <w:bCs w:val="1"/>
          <w:color w:val="auto"/>
        </w:rPr>
        <w:t xml:space="preserve"> </w:t>
      </w:r>
      <w:r>
        <w:rPr>
          <w:rFonts w:ascii="Arial" w:cs="Arial" w:eastAsia="Arial" w:hAnsi="Arial"/>
          <w:sz w:val="16"/>
          <w:szCs w:val="16"/>
          <w:color w:val="auto"/>
        </w:rPr>
        <w:t>deferred tax assets and liabilities for the expected future tax consequences of events that have been included in the Company's financial statements and tax returns. Deferred tax assets and liabilities are determined based upon the differences between the financial statement carrying amounts and the tax bases of existing assets and liabilities and for loss and credit carryforwards, using enacted tax rates expected to be in effect in the year in which the differences are expected to reverse. Deferred tax assets are reduced by a valuation allowance if it is more likely than not that these assets may not be realized. 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recognizes interest and penalties, if any, related to uncertain tax positions in income tax expense.</w:t>
      </w:r>
    </w:p>
    <w:p>
      <w:pPr>
        <w:spacing w:after="0" w:line="167"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Net loss per share</w:t>
      </w:r>
      <w:r>
        <w:rPr>
          <w:rFonts w:ascii="Arial" w:cs="Arial" w:eastAsia="Arial" w:hAnsi="Arial"/>
          <w:sz w:val="16"/>
          <w:szCs w:val="16"/>
          <w:color w:val="auto"/>
        </w:rPr>
        <w:t>—The Company has reported losses since inception and has computed basic net loss per share attributable to common stockholders by</w:t>
      </w:r>
      <w:r>
        <w:rPr>
          <w:rFonts w:ascii="Arial" w:cs="Arial" w:eastAsia="Arial" w:hAnsi="Arial"/>
          <w:sz w:val="16"/>
          <w:szCs w:val="16"/>
          <w:b w:val="1"/>
          <w:bCs w:val="1"/>
          <w:color w:val="auto"/>
        </w:rPr>
        <w:t xml:space="preserve"> </w:t>
      </w:r>
      <w:r>
        <w:rPr>
          <w:rFonts w:ascii="Arial" w:cs="Arial" w:eastAsia="Arial" w:hAnsi="Arial"/>
          <w:sz w:val="16"/>
          <w:szCs w:val="16"/>
          <w:color w:val="auto"/>
        </w:rPr>
        <w:t>dividing net loss attributable to common stockholders by the weighted-average number of common shares outstanding for the period, without consideration for potentially dilutive securities. The Company computes diluted net loss per common share after giving consideration to all potentially dilutive common shares, including options to purchase common stock and convertible preferred stock, outstanding during the period determined using the treasury-stock and if-converted methods, except where the effect of including such securities would be antidilutive. Because the Company has reported net losses since inception, these potential common shares have been anti-dilutive and basic and diluted loss per share have been the same.</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42" w:right="339" w:bottom="1440" w:gutter="0" w:footer="0" w:header="0"/>
        </w:sectPr>
      </w:pPr>
    </w:p>
    <w:bookmarkStart w:id="238" w:name="page239"/>
    <w:bookmarkEnd w:id="238"/>
    <w:p>
      <w:pPr>
        <w:jc w:val="center"/>
        <w:ind w:right="-139"/>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Basic and diluted net loss per share attributable to common stockholders was calculated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5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7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(7,710,338)</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(8,737,650)</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Denominator—basic and diluted:</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1,154,107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1,176,417</w:t>
            </w:r>
          </w:p>
        </w:tc>
      </w:tr>
      <w:tr>
        <w:trPr>
          <w:trHeight w:val="20"/>
        </w:trPr>
        <w:tc>
          <w:tcPr>
            <w:tcW w:w="5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(6.68)</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w:t>
            </w:r>
          </w:p>
        </w:tc>
      </w:tr>
      <w:tr>
        <w:trPr>
          <w:trHeight w:val="20"/>
        </w:trPr>
        <w:tc>
          <w:tcPr>
            <w:tcW w:w="5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sets forth the potentially dilutive securities that have been excluded from the calculation of diluted net loss per share because to include them would be anti-dilutive (in common stock equivalent shares):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0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5900" w:type="dxa"/>
            <w:vAlign w:val="bottom"/>
          </w:tcPr>
          <w:p>
            <w:pPr>
              <w:spacing w:after="0"/>
              <w:rPr>
                <w:sz w:val="14"/>
                <w:szCs w:val="14"/>
                <w:color w:val="auto"/>
              </w:rPr>
            </w:pPr>
          </w:p>
        </w:tc>
        <w:tc>
          <w:tcPr>
            <w:tcW w:w="208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59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Series A convertible preferred stock</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612,446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612,446</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Series B convertible preferred stock</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7,235,969</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7,235,969</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Series C convertible preferred stock</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5,179,877</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1,860,631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2,761,794</w:t>
            </w:r>
          </w:p>
        </w:tc>
      </w:tr>
      <w:tr>
        <w:trPr>
          <w:trHeight w:val="20"/>
        </w:trPr>
        <w:tc>
          <w:tcPr>
            <w:tcW w:w="59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shares of common stock equivalents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9,709,046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15,790,086</w:t>
            </w:r>
          </w:p>
        </w:tc>
      </w:tr>
      <w:tr>
        <w:trPr>
          <w:trHeight w:val="20"/>
        </w:trPr>
        <w:tc>
          <w:tcPr>
            <w:tcW w:w="59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firstLine="351"/>
        <w:spacing w:after="0" w:line="310" w:lineRule="auto"/>
        <w:rPr>
          <w:sz w:val="20"/>
          <w:szCs w:val="20"/>
          <w:color w:val="auto"/>
        </w:rPr>
      </w:pPr>
      <w:r>
        <w:rPr>
          <w:rFonts w:ascii="Arial" w:cs="Arial" w:eastAsia="Arial" w:hAnsi="Arial"/>
          <w:sz w:val="16"/>
          <w:szCs w:val="16"/>
          <w:b w:val="1"/>
          <w:bCs w:val="1"/>
          <w:color w:val="auto"/>
        </w:rPr>
        <w:t>Pro forma net loss per share</w:t>
      </w:r>
      <w:r>
        <w:rPr>
          <w:rFonts w:ascii="Arial" w:cs="Arial" w:eastAsia="Arial" w:hAnsi="Arial"/>
          <w:sz w:val="16"/>
          <w:szCs w:val="16"/>
          <w:color w:val="auto"/>
        </w:rPr>
        <w:t>—Unaudited pro forma net loss per share attributable to common stockholders is computed using the weighted-average</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common shares outstanding after giving effect to the conversion of all the convertible preferred stock into shares of common stock as if such conversion had occurred at the beginning of the period presented or the date of original issuance, if later.</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239" w:name="page240"/>
    <w:bookmarkEnd w:id="239"/>
    <w:p>
      <w:pPr>
        <w:jc w:val="center"/>
        <w:ind w:right="-19"/>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Company's unaudited pro forma net loss per share attributable to common stockholders: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Six Months ended</w:t>
            </w:r>
          </w:p>
        </w:tc>
      </w:tr>
      <w:tr>
        <w:trPr>
          <w:trHeight w:val="161"/>
        </w:trPr>
        <w:tc>
          <w:tcPr>
            <w:tcW w:w="6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June 30, 2019</w:t>
            </w: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Net loss attributable to common stockholders, basic and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(8,737,650)</w:t>
            </w: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Weighted average common shares outstanding—basic and diluted</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1,176,417</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w w:val="99"/>
              </w:rPr>
              <w:t>Assumed conversion of Series A, Series B and Series C convertible preferred stock</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12,899,252</w:t>
            </w:r>
          </w:p>
        </w:tc>
      </w:tr>
      <w:tr>
        <w:trPr>
          <w:trHeight w:val="210"/>
        </w:trPr>
        <w:tc>
          <w:tcPr>
            <w:tcW w:w="6600" w:type="dxa"/>
            <w:vAlign w:val="bottom"/>
          </w:tcPr>
          <w:p>
            <w:pPr>
              <w:spacing w:after="0"/>
              <w:rPr>
                <w:sz w:val="20"/>
                <w:szCs w:val="20"/>
                <w:color w:val="auto"/>
              </w:rPr>
            </w:pPr>
            <w:r>
              <w:rPr>
                <w:rFonts w:ascii="Arial" w:cs="Arial" w:eastAsia="Arial" w:hAnsi="Arial"/>
                <w:sz w:val="18"/>
                <w:szCs w:val="18"/>
                <w:color w:val="auto"/>
              </w:rPr>
              <w:t>Denominator for pro forma basic and diluted loss per common share</w:t>
            </w: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14,075,669</w:t>
            </w:r>
          </w:p>
        </w:tc>
        <w:tc>
          <w:tcPr>
            <w:tcW w:w="160" w:type="dxa"/>
            <w:vAlign w:val="bottom"/>
          </w:tcPr>
          <w:p>
            <w:pPr>
              <w:spacing w:after="0"/>
              <w:rPr>
                <w:sz w:val="18"/>
                <w:szCs w:val="18"/>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Pro forma basic and diluted net loss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(0.62)</w:t>
            </w:r>
          </w:p>
        </w:tc>
      </w:tr>
      <w:tr>
        <w:trPr>
          <w:trHeight w:val="20"/>
        </w:trPr>
        <w:tc>
          <w:tcPr>
            <w:tcW w:w="6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pronouncements—not yet adopted</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June 2018, the FASB issued ASU No. 2018-07,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which expands the scope of Topic 718 to include share-based payment transactions for acquiring goods and services from nonemployees, except for specific exceptions. This ASU is effective for annual or any interim periods beginning after December 15, 2019. The Company is currently assessing the impact of adopting this authoritative guidance on its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Leases</w:t>
      </w:r>
    </w:p>
    <w:p>
      <w:pPr>
        <w:spacing w:after="0" w:line="231"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On January 1, 2019, the Company adopted ASC 842 using the modified retrospective transition approach allowed under ASU 2018-11 which releases companies from presenting comparative periods and related disclosures under ASC 842 and requires a cumulative-effect adjustment to the opening balance of retained earnings in the period of adoption (Note 2). The Company is party to two operating leases for office or laboratory space. The Company's finance leases are immaterial both individually and in the aggregate. The Company has elected to apply the short-term lease exception to all leases of one year or less. As of June 30, 2019, this exception applies to one operating lease for office and laboratory space, which is for a term of one year, and expired June 30, 2019. Rent expense for six months ended June 30, 2018 and 2019 was $64,474 and $69,524, respectively, which are included in operating expenses.</w:t>
      </w:r>
    </w:p>
    <w:p>
      <w:pPr>
        <w:spacing w:after="0" w:line="17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Further, the Company has applied the guidance in ASC 842 to our corporate office and laboratory leases and have determined that these should be classified as operating leases. Consequently, as a result of the adoption of ASC 842, we recognized a ROU lease asset of approximately $329,384 with a corresponding lease liability of approximately $348,040 based on the present value of the minimum rental payments of such leases. In accordance with ASC 842, the beginning balance of the ROU lease asset was reduced by the existing deferred rent liability at inception of approximately $18,656. In the consolidated balance sheets at June 30, 2019, the Company has a ROU asset balance of $277,531 and a current and non-current lease liability of $112,315 and $181,910, respectively, relating to the ROU lease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0" w:name="page241"/>
    <w:bookmarkEnd w:id="240"/>
    <w:p>
      <w:pPr>
        <w:jc w:val="center"/>
        <w:ind w:right="-39"/>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Leases (continued)</w:t>
      </w:r>
    </w:p>
    <w:p>
      <w:pPr>
        <w:spacing w:after="0" w:line="231"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asset. The balance of both the ROU lease asset and the lease liabilities primarily consists of future payments under the Company's office lease in Boston, Massachusetts.</w:t>
      </w:r>
    </w:p>
    <w:p>
      <w:pPr>
        <w:spacing w:after="0" w:line="18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 is party to an operating lease in Boston, Massachusetts for office and laboratory space. The lease commenced in November 2016 with the initial term set to expire in December 2021. This office lease does not have any renewal options. The Company was party to an operating lease in Solna, Sweden that had month-to-month payments and expired on June 30, 2019. Additionally, the Company entered into a new operating lease for office and laboratory space in Solna, Sweden that is effective July 1, 2019 and expires in June 2022. Base rent for this lease is approximately $128,000 annually.</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Quantitative information regarding the Company's leases for the six months ended June 30, 2019 is as follows:</w:t>
      </w:r>
    </w:p>
    <w:p>
      <w:pPr>
        <w:spacing w:after="0" w:line="208"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5700" w:type="dxa"/>
            <w:vAlign w:val="bottom"/>
            <w:gridSpan w:val="4"/>
          </w:tcPr>
          <w:p>
            <w:pPr>
              <w:ind w:left="780"/>
              <w:spacing w:after="0"/>
              <w:rPr>
                <w:sz w:val="20"/>
                <w:szCs w:val="20"/>
                <w:color w:val="auto"/>
              </w:rPr>
            </w:pPr>
            <w:r>
              <w:rPr>
                <w:rFonts w:ascii="Arial" w:cs="Arial" w:eastAsia="Arial" w:hAnsi="Arial"/>
                <w:sz w:val="14"/>
                <w:szCs w:val="14"/>
                <w:b w:val="1"/>
                <w:bCs w:val="1"/>
                <w:color w:val="auto"/>
              </w:rPr>
              <w:t>Lease Cost</w:t>
            </w:r>
          </w:p>
        </w:tc>
        <w:tc>
          <w:tcPr>
            <w:tcW w:w="120" w:type="dxa"/>
            <w:vAlign w:val="bottom"/>
          </w:tcPr>
          <w:p>
            <w:pPr>
              <w:spacing w:after="0"/>
              <w:rPr>
                <w:sz w:val="14"/>
                <w:szCs w:val="14"/>
                <w:color w:val="auto"/>
              </w:rPr>
            </w:pPr>
          </w:p>
        </w:tc>
        <w:tc>
          <w:tcPr>
            <w:tcW w:w="2580" w:type="dxa"/>
            <w:vAlign w:val="bottom"/>
          </w:tcPr>
          <w:p>
            <w:pPr>
              <w:ind w:left="1000"/>
              <w:spacing w:after="0"/>
              <w:rPr>
                <w:sz w:val="20"/>
                <w:szCs w:val="20"/>
                <w:color w:val="auto"/>
              </w:rPr>
            </w:pPr>
            <w:r>
              <w:rPr>
                <w:rFonts w:ascii="Arial" w:cs="Arial" w:eastAsia="Arial" w:hAnsi="Arial"/>
                <w:sz w:val="14"/>
                <w:szCs w:val="14"/>
                <w:b w:val="1"/>
                <w:bCs w:val="1"/>
                <w:color w:val="auto"/>
              </w:rPr>
              <w:t>Classification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June 30, 2019</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60" w:type="dxa"/>
            <w:vAlign w:val="bottom"/>
            <w:tcBorders>
              <w:left w:val="single" w:sz="8" w:color="auto"/>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vMerge w:val="continue"/>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6"/>
              </w:rPr>
              <w:t>General and administrative expenses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51,853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700" w:type="dxa"/>
            <w:vAlign w:val="bottom"/>
            <w:gridSpan w:val="4"/>
          </w:tcPr>
          <w:p>
            <w:pPr>
              <w:ind w:left="780"/>
              <w:spacing w:after="0"/>
              <w:rPr>
                <w:sz w:val="20"/>
                <w:szCs w:val="20"/>
                <w:color w:val="auto"/>
              </w:rPr>
            </w:pPr>
            <w:r>
              <w:rPr>
                <w:rFonts w:ascii="Arial" w:cs="Arial" w:eastAsia="Arial" w:hAnsi="Arial"/>
                <w:sz w:val="18"/>
                <w:szCs w:val="18"/>
                <w:b w:val="1"/>
                <w:bCs w:val="1"/>
                <w:color w:val="auto"/>
              </w:rPr>
              <w:t>Other Information</w:t>
            </w:r>
          </w:p>
        </w:tc>
        <w:tc>
          <w:tcPr>
            <w:tcW w:w="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9"/>
              </w:rPr>
              <w:t>Operating cash flows paid for amounts included in the measurement</w:t>
            </w:r>
          </w:p>
        </w:tc>
        <w:tc>
          <w:tcPr>
            <w:tcW w:w="1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tcPr>
          <w:p>
            <w:pPr>
              <w:spacing w:after="0"/>
              <w:rPr>
                <w:sz w:val="19"/>
                <w:szCs w:val="19"/>
                <w:color w:val="auto"/>
              </w:rPr>
            </w:pPr>
          </w:p>
        </w:tc>
        <w:tc>
          <w:tcPr>
            <w:tcW w:w="49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of lease liabilities</w:t>
            </w:r>
          </w:p>
        </w:tc>
        <w:tc>
          <w:tcPr>
            <w:tcW w:w="12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60,818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w w:val="92"/>
              </w:rPr>
              <w:t>Operating lease liabilities arising from obtaining right-of-use assets</w:t>
            </w: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remaining lease term (years)</w:t>
            </w:r>
          </w:p>
        </w:tc>
        <w:tc>
          <w:tcPr>
            <w:tcW w:w="1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Weighted average discount rate</w:t>
            </w:r>
          </w:p>
        </w:tc>
        <w:tc>
          <w:tcPr>
            <w:tcW w:w="1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24"/>
        </w:trPr>
        <w:tc>
          <w:tcPr>
            <w:tcW w:w="8400" w:type="dxa"/>
            <w:vAlign w:val="bottom"/>
            <w:gridSpan w:val="6"/>
          </w:tcPr>
          <w:p>
            <w:pPr>
              <w:spacing w:after="0"/>
              <w:rPr>
                <w:sz w:val="20"/>
                <w:szCs w:val="20"/>
                <w:color w:val="auto"/>
              </w:rPr>
            </w:pPr>
            <w:r>
              <w:rPr>
                <w:rFonts w:ascii="Arial" w:cs="Arial" w:eastAsia="Arial" w:hAnsi="Arial"/>
                <w:sz w:val="18"/>
                <w:szCs w:val="18"/>
                <w:color w:val="auto"/>
              </w:rPr>
              <w:t>Future lease payments under noncancellable leases are as follows at June 30, 2019: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84"/>
              </w:rPr>
              <w:t>Operating</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Future Lease Payments</w:t>
            </w:r>
          </w:p>
        </w:tc>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ind w:right="127"/>
              <w:spacing w:after="0"/>
              <w:rPr>
                <w:sz w:val="20"/>
                <w:szCs w:val="20"/>
                <w:color w:val="auto"/>
              </w:rPr>
            </w:pPr>
            <w:r>
              <w:rPr>
                <w:rFonts w:ascii="Arial" w:cs="Arial" w:eastAsia="Arial" w:hAnsi="Arial"/>
                <w:sz w:val="14"/>
                <w:szCs w:val="14"/>
                <w:b w:val="1"/>
                <w:bCs w:val="1"/>
                <w:color w:val="auto"/>
                <w:w w:val="96"/>
              </w:rPr>
              <w:t>Leases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60" w:type="dxa"/>
            <w:vAlign w:val="bottom"/>
            <w:gridSpan w:val="2"/>
          </w:tcPr>
          <w:p>
            <w:pPr>
              <w:spacing w:after="0"/>
              <w:rPr>
                <w:sz w:val="18"/>
                <w:szCs w:val="18"/>
                <w:color w:val="auto"/>
              </w:rPr>
            </w:pPr>
          </w:p>
        </w:tc>
        <w:tc>
          <w:tcPr>
            <w:tcW w:w="13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60,818</w:t>
            </w:r>
          </w:p>
        </w:tc>
        <w:tc>
          <w:tcPr>
            <w:tcW w:w="8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2020</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rPr>
              <w:t>123,930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spacing w:after="0"/>
              <w:rPr>
                <w:sz w:val="18"/>
                <w:szCs w:val="18"/>
                <w:color w:val="auto"/>
              </w:rPr>
            </w:pPr>
          </w:p>
        </w:tc>
        <w:tc>
          <w:tcPr>
            <w:tcW w:w="13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126,225</w:t>
            </w:r>
          </w:p>
        </w:tc>
        <w:tc>
          <w:tcPr>
            <w:tcW w:w="8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434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310,973</w:t>
            </w:r>
          </w:p>
        </w:tc>
        <w:tc>
          <w:tcPr>
            <w:tcW w:w="8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900" w:type="dxa"/>
            <w:vAlign w:val="bottom"/>
            <w:gridSpan w:val="3"/>
            <w:vMerge w:val="restart"/>
          </w:tcPr>
          <w:p>
            <w:pPr>
              <w:ind w:left="560"/>
              <w:spacing w:after="0"/>
              <w:rPr>
                <w:sz w:val="20"/>
                <w:szCs w:val="20"/>
                <w:color w:val="auto"/>
              </w:rPr>
            </w:pPr>
            <w:r>
              <w:rPr>
                <w:rFonts w:ascii="Arial" w:cs="Arial" w:eastAsia="Arial" w:hAnsi="Arial"/>
                <w:sz w:val="18"/>
                <w:szCs w:val="18"/>
                <w:color w:val="auto"/>
              </w:rPr>
              <w:t>Less: Imputed Interest</w:t>
            </w: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 w:type="dxa"/>
            <w:vAlign w:val="bottom"/>
          </w:tcPr>
          <w:p>
            <w:pPr>
              <w:spacing w:after="0"/>
              <w:rPr>
                <w:sz w:val="17"/>
                <w:szCs w:val="17"/>
                <w:color w:val="auto"/>
              </w:rPr>
            </w:pPr>
          </w:p>
        </w:tc>
        <w:tc>
          <w:tcPr>
            <w:tcW w:w="490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w w:val="98"/>
              </w:rPr>
              <w:t>(16,748)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34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1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294,225</w:t>
            </w:r>
          </w:p>
        </w:tc>
        <w:tc>
          <w:tcPr>
            <w:tcW w:w="8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80" w:firstLine="341"/>
        <w:spacing w:after="0" w:line="259" w:lineRule="auto"/>
        <w:rPr>
          <w:sz w:val="20"/>
          <w:szCs w:val="20"/>
          <w:color w:val="auto"/>
        </w:rPr>
      </w:pPr>
      <w:r>
        <w:rPr>
          <w:rFonts w:ascii="Arial" w:cs="Arial" w:eastAsia="Arial" w:hAnsi="Arial"/>
          <w:sz w:val="18"/>
          <w:szCs w:val="18"/>
          <w:color w:val="auto"/>
        </w:rPr>
        <w:t>As most of the Company's leases do not provide an implicit rate, we use the Company's incremental borrowing rate based on the information available at commencement date in determining the present value of lease payments. The Company uses the incremental borrowing rate on January 1, 2019 for operating leases that commenced prior to that date.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41" w:name="page242"/>
    <w:bookmarkEnd w:id="241"/>
    <w:p>
      <w:pPr>
        <w:jc w:val="center"/>
        <w:ind w:right="-79"/>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as of December 31, 2018 and June 30, 2019 consist of the following:</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June 30,</w:t>
            </w:r>
          </w:p>
        </w:tc>
      </w:tr>
      <w:tr>
        <w:trPr>
          <w:trHeight w:val="161"/>
        </w:trPr>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69,770</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73,722</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Furniture &amp; Fixtures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16,313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16,313</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12,689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12,279</w:t>
            </w:r>
          </w:p>
        </w:tc>
      </w:tr>
      <w:tr>
        <w:trPr>
          <w:trHeight w:val="210"/>
        </w:trPr>
        <w:tc>
          <w:tcPr>
            <w:tcW w:w="5920" w:type="dxa"/>
            <w:vAlign w:val="bottom"/>
          </w:tcPr>
          <w:p>
            <w:pPr>
              <w:ind w:left="180"/>
              <w:spacing w:after="0"/>
              <w:rPr>
                <w:sz w:val="20"/>
                <w:szCs w:val="20"/>
                <w:color w:val="auto"/>
              </w:rPr>
            </w:pPr>
            <w:r>
              <w:rPr>
                <w:rFonts w:ascii="Arial" w:cs="Arial" w:eastAsia="Arial" w:hAnsi="Arial"/>
                <w:sz w:val="18"/>
                <w:szCs w:val="18"/>
                <w:color w:val="auto"/>
              </w:rPr>
              <w:t>Property and equipment, at cost</w:t>
            </w: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98,772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102,314</w:t>
            </w:r>
          </w:p>
        </w:tc>
        <w:tc>
          <w:tcPr>
            <w:tcW w:w="16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(74,322)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(76,652)</w:t>
            </w:r>
          </w:p>
        </w:tc>
      </w:tr>
      <w:tr>
        <w:trPr>
          <w:trHeight w:val="210"/>
        </w:trPr>
        <w:tc>
          <w:tcPr>
            <w:tcW w:w="5920" w:type="dxa"/>
            <w:vAlign w:val="bottom"/>
          </w:tcPr>
          <w:p>
            <w:pPr>
              <w:ind w:left="180"/>
              <w:spacing w:after="0"/>
              <w:rPr>
                <w:sz w:val="20"/>
                <w:szCs w:val="20"/>
                <w:color w:val="auto"/>
              </w:rPr>
            </w:pPr>
            <w:r>
              <w:rPr>
                <w:rFonts w:ascii="Arial" w:cs="Arial" w:eastAsia="Arial" w:hAnsi="Arial"/>
                <w:sz w:val="18"/>
                <w:szCs w:val="18"/>
                <w:color w:val="auto"/>
              </w:rPr>
              <w:t>Property and equipment—net</w:t>
            </w: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24,450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25,662</w:t>
            </w:r>
          </w:p>
        </w:tc>
        <w:tc>
          <w:tcPr>
            <w:tcW w:w="160" w:type="dxa"/>
            <w:vAlign w:val="bottom"/>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Depreciation expense for six months ended June 30, 2018 and 2019 was $4,263 and $4,739,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at December 31, 2018 and June 30, 2019 consist of the following:</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June 30,</w:t>
            </w:r>
          </w:p>
        </w:tc>
      </w:tr>
      <w:tr>
        <w:trPr>
          <w:trHeight w:val="161"/>
        </w:trPr>
        <w:tc>
          <w:tcPr>
            <w:tcW w:w="3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80,771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318,668</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624,298</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434,133</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2,178,086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2,102,926</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Other</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245,617</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404,382</w:t>
            </w:r>
          </w:p>
        </w:tc>
      </w:tr>
      <w:tr>
        <w:trPr>
          <w:trHeight w:val="20"/>
        </w:trPr>
        <w:tc>
          <w:tcPr>
            <w:tcW w:w="3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accrued expenses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3,128,772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3,260,109</w:t>
            </w:r>
          </w:p>
        </w:tc>
      </w:tr>
      <w:tr>
        <w:trPr>
          <w:trHeight w:val="20"/>
        </w:trPr>
        <w:tc>
          <w:tcPr>
            <w:tcW w:w="3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w:t>
      </w:r>
    </w:p>
    <w:p>
      <w:pPr>
        <w:spacing w:after="0" w:line="231"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The Company's commitments are disclosed in the audited financial statements included in this Registration Statement as of and for the year ended December 31, 2018. Since the date of such financial statements, there have been no material changes to the Company's commitments. Further, the Company's commitments related to lease agreements are disclosed in Note 3 to our unaudited condensed consolidated financial statements included elsewhere in this Registration Statement.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 has no income tax expense due to operating losses incurred for the six months ended June 30, 2018 and 2019. The Company has provided a valuation allowance for the full amount of the net deferred tax assets as, based on all available evidence, it is considered more likely than not that all the recorded deferred tax assets will not be realized in a future period. At December 31, 2018, the Company had $61.6 million, $0.5 million and $0.4 million of foreign, federal and state net operating loss carryforwards, respectively, that expire at various dates through 2036. Certain of these foreign, federal and state net operating loss carryforwards may be subject to Internal Revenue Code Section 382 or similar provisions, which impose limitations on their utilization amounts.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242" w:name="page243"/>
    <w:bookmarkEnd w:id="242"/>
    <w:p>
      <w:pPr>
        <w:jc w:val="center"/>
        <w:ind w:right="-19"/>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 (continued)</w:t>
      </w:r>
    </w:p>
    <w:p>
      <w:pPr>
        <w:spacing w:after="0" w:line="231"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Realization of the future tax benefits is dependent on many factors, including the Company's ability to generate taxable income within the net operating loss carryforward period. Under the provisions of the U.S. Internal Revenue Code and Sweden tax law, certain substantial changes in the Company's ownership, including a sale of the Company or significant changes in ownership due to sales of equity, may have limited, or may limit in the future, the amount of net operating loss carryforwards that could be used annually to offset future taxable income. For U.S. and Swedish income tax purposes, the Company has not completed a study to assess whether a change of control has occurred or whether there have been changes of control since the Company's formation due to the complexity and cost associated with such study and because there could be additional changes in control in the future. As a result, the Company is not able to estimate the effect of the change in control, if any, on the Company's ability to utilize U.S. or Swedish net operating losses or other tax attribute carryforwards in the future. For Swedish income tax purposes, the Company has estimated that approximately $12.5 million of its net operating losses may be subject to limitations in accordance with the country's group contribution restriction laws at December 31, 2018.</w:t>
      </w:r>
    </w:p>
    <w:p>
      <w:pPr>
        <w:spacing w:after="0" w:line="17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files tax returns in Sweden, the United States, Pennsylvania and Massachusetts, and all tax years since inception remain open to examination by the major taxing jurisdictions to which the Company is subject, as carryforward attributes generated in years past may still be adjusted upon examination by the Internal Revenue Service (IRS) or other authorities if they have or will be used in a future period. The Company is not currently under examination by the IRS or any other jurisdictions for any tax years.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2018 and June 30, 2019, the Company had no uncertain tax positions or related interest and penalties accrued.</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In June 2018, Sweden passed law on changes to the Swedish regulations on corporate income taxation. The law applies from January 1, 2019. Among other things, the changes decrease the corporate income tax rate in two steps from 22% to 21.4% as of January 1, 2019 and 20.6% as of January 1, 2020. U.S. GAAP requires companies to revalue their deferred tax assets and deferred tax liabilities as of the date of enactment, with the resulting tax effects accounted for in the reporting period of enactment. This revaluation resulted in an overall reduction of deferred taxes of $0.7 million and a corresponding reduction in the valuation allowance. As such, there was no net impact to the Company's statement of operations as a result of the reduction in tax rates.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preferred stock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has 20,000,000 shares authorized for all classes of equity combined.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w:t>
      </w:r>
    </w:p>
    <w:p>
      <w:pPr>
        <w:spacing w:after="0" w:line="225" w:lineRule="exact"/>
        <w:rPr>
          <w:sz w:val="20"/>
          <w:szCs w:val="20"/>
          <w:color w:val="auto"/>
        </w:rPr>
      </w:pPr>
    </w:p>
    <w:p>
      <w:pPr>
        <w:jc w:val="both"/>
        <w:ind w:right="420" w:firstLine="351"/>
        <w:spacing w:after="0" w:line="259" w:lineRule="auto"/>
        <w:rPr>
          <w:sz w:val="20"/>
          <w:szCs w:val="20"/>
          <w:color w:val="auto"/>
        </w:rPr>
      </w:pPr>
      <w:r>
        <w:rPr>
          <w:rFonts w:ascii="Arial" w:cs="Arial" w:eastAsia="Arial" w:hAnsi="Arial"/>
          <w:sz w:val="18"/>
          <w:szCs w:val="18"/>
          <w:color w:val="auto"/>
        </w:rPr>
        <w:t>In June 2011, the Company issued 145,469 shares of Series A Preferred for gross proceeds of $3,233,417. In March 2016, the Company issued 466,977 shares of Series A Preferred as settlement of its outstanding bridge loans totaling $3,249,627. All 612,446 shares of Series A Preferred were issued to related parties.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43" w:name="page244"/>
    <w:bookmarkEnd w:id="243"/>
    <w:p>
      <w:pPr>
        <w:jc w:val="center"/>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preferred stock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2019, the rights and preferences of the Series A Preferred are as follows:</w:t>
      </w:r>
    </w:p>
    <w:p>
      <w:pPr>
        <w:spacing w:after="0" w:line="225"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b w:val="1"/>
          <w:bCs w:val="1"/>
          <w:i w:val="1"/>
          <w:iCs w:val="1"/>
          <w:color w:val="auto"/>
        </w:rPr>
        <w:t>Conversion</w:t>
      </w:r>
      <w:r>
        <w:rPr>
          <w:rFonts w:ascii="Arial" w:cs="Arial" w:eastAsia="Arial" w:hAnsi="Arial"/>
          <w:sz w:val="18"/>
          <w:szCs w:val="18"/>
          <w:color w:val="auto"/>
        </w:rPr>
        <w:t>—Each share of Series A Preferred may be converted at any time, at the option of the holder, into a share of common stock. The Series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automatically converts into shares of common stock when 1) shareholders representing a majority of the outstanding preferred shares calls for such conversion or 2) at the closing of an initial public offering of the Company's common stock at a per share price of at least one and a half (1.5) times the average amount (EUR 16.05 based on all Series C preferred shares issued as of June 30, 2019) paid per Series C preferred share (as adjusted for share splits and similar) and aggregate proceeds in excess of EUR 50,000,000.</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—Holders of Series A Preferred do not accrue dividends.</w:t>
      </w:r>
    </w:p>
    <w:p>
      <w:pPr>
        <w:spacing w:after="0" w:line="225" w:lineRule="exact"/>
        <w:rPr>
          <w:sz w:val="20"/>
          <w:szCs w:val="20"/>
          <w:color w:val="auto"/>
        </w:rPr>
      </w:pPr>
    </w:p>
    <w:p>
      <w:pPr>
        <w:jc w:val="both"/>
        <w:ind w:right="240" w:firstLine="351"/>
        <w:spacing w:after="0" w:line="306" w:lineRule="auto"/>
        <w:rPr>
          <w:sz w:val="20"/>
          <w:szCs w:val="20"/>
          <w:color w:val="auto"/>
        </w:rPr>
      </w:pPr>
      <w:r>
        <w:rPr>
          <w:rFonts w:ascii="Arial" w:cs="Arial" w:eastAsia="Arial" w:hAnsi="Arial"/>
          <w:sz w:val="16"/>
          <w:szCs w:val="16"/>
          <w:b w:val="1"/>
          <w:bCs w:val="1"/>
          <w:i w:val="1"/>
          <w:iCs w:val="1"/>
          <w:color w:val="auto"/>
        </w:rPr>
        <w:t>Voting rights</w:t>
      </w:r>
      <w:r>
        <w:rPr>
          <w:rFonts w:ascii="Arial" w:cs="Arial" w:eastAsia="Arial" w:hAnsi="Arial"/>
          <w:sz w:val="16"/>
          <w:szCs w:val="16"/>
          <w:color w:val="auto"/>
        </w:rPr>
        <w:t>—Preferred Stock and common stock vote together as one class on an as converted basis. Common stock voting rights on certain matters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the powers, preferences, and rights of the Preferred Stock. Holders are entitled to vote on all matters and shall have the number of votes equal to the number of shares of common stock into which the shares of Preferred Stock held by such holder are then convertible.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Preferred</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March 2016, the Company issued 3,322,762 shares of Series B Preferred for gross proceeds of $22,609,485. The Company also issued 590,445 shares of Series B Preferred in settlement of its outstanding bridge loans totaling $4,108,818. In October 2017, the Company issued 3,322,762 Series B preferred shares at a price per share of $7.02, for an aggregate purchase price of $23,349,617. All 7,235,769 shares of Series B Preferred were issued to related parties.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2019, the rights and preferences of the Series B Preferred are as follows:</w:t>
      </w:r>
    </w:p>
    <w:p>
      <w:pPr>
        <w:spacing w:after="0" w:line="225"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b w:val="1"/>
          <w:bCs w:val="1"/>
          <w:i w:val="1"/>
          <w:iCs w:val="1"/>
          <w:color w:val="auto"/>
        </w:rPr>
        <w:t>Conversion</w:t>
      </w:r>
      <w:r>
        <w:rPr>
          <w:rFonts w:ascii="Arial" w:cs="Arial" w:eastAsia="Arial" w:hAnsi="Arial"/>
          <w:sz w:val="18"/>
          <w:szCs w:val="18"/>
          <w:color w:val="auto"/>
        </w:rPr>
        <w:t>—Each share of Series B Preferred may be converted at any time, at the option of the holder, into a share of common stock. The Series 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automatically converts into shares of common stock when 1) shareholders representing a majority of the outstanding preferred shares calls for such conversion or 2) at the closing of an initial public offering of the Company's common stock at a per share price of at least one and a half (1.5) times the average amount (EUR 16.05 based on all Series C preferred shares issued as of June 30, 2019) paid per Series C preferred share (as adjusted for share splits and similar) and aggregate proceeds in excess of EUR 50,000,000.</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Dividends</w:t>
      </w:r>
      <w:r>
        <w:rPr>
          <w:rFonts w:ascii="Arial" w:cs="Arial" w:eastAsia="Arial" w:hAnsi="Arial"/>
          <w:sz w:val="16"/>
          <w:szCs w:val="16"/>
          <w:color w:val="auto"/>
        </w:rPr>
        <w:t>—Holders are entitled to dividends of 8%, compounded annually if not paid. No dividends have been declared or paid as of June 30, 2019.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company has not accrued dividends on the Series B Preferred since dividends are only payable upon the occurrence of a liquidation event, including the transfer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more than fifty percent of the Company's outstanding shares or the transfer of substantially all of the Company's intellectual property.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$11,059,542 of accrued dividends that were payable through June 30, 2019 was added to the stated liquidation preference amount of the Series B Preferred, which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totaled $61,127,463 at June 30, 2019.</w:t>
      </w:r>
    </w:p>
    <w:p>
      <w:pPr>
        <w:spacing w:after="0" w:line="219"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b w:val="1"/>
          <w:bCs w:val="1"/>
          <w:i w:val="1"/>
          <w:iCs w:val="1"/>
          <w:color w:val="auto"/>
        </w:rPr>
        <w:t>Voting rights</w:t>
      </w:r>
      <w:r>
        <w:rPr>
          <w:rFonts w:ascii="Arial" w:cs="Arial" w:eastAsia="Arial" w:hAnsi="Arial"/>
          <w:sz w:val="16"/>
          <w:szCs w:val="16"/>
          <w:color w:val="auto"/>
        </w:rPr>
        <w:t>—Preferred Stock and common stock vote together as one class on an as converted basis. Common stock voting rights on certain matters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the powers, preferences, and rights of the Preferred Stock. Holders are entitled to vote on all matters and shall have the number of votes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4" w:name="page245"/>
    <w:bookmarkEnd w:id="244"/>
    <w:p>
      <w:pPr>
        <w:jc w:val="center"/>
        <w:ind w:right="-19"/>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preferred stock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equal to the number of shares of common stock into which the shares of Preferred Stock held by such holder are then convertible.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Preferred</w:t>
      </w:r>
    </w:p>
    <w:p>
      <w:pPr>
        <w:spacing w:after="0" w:line="225" w:lineRule="exact"/>
        <w:rPr>
          <w:sz w:val="20"/>
          <w:szCs w:val="20"/>
          <w:color w:val="auto"/>
        </w:rPr>
      </w:pPr>
    </w:p>
    <w:p>
      <w:pPr>
        <w:ind w:right="200" w:firstLine="351"/>
        <w:spacing w:after="0" w:line="370" w:lineRule="auto"/>
        <w:rPr>
          <w:sz w:val="20"/>
          <w:szCs w:val="20"/>
          <w:color w:val="auto"/>
        </w:rPr>
      </w:pPr>
      <w:r>
        <w:rPr>
          <w:rFonts w:ascii="Arial" w:cs="Arial" w:eastAsia="Arial" w:hAnsi="Arial"/>
          <w:sz w:val="15"/>
          <w:szCs w:val="15"/>
          <w:color w:val="auto"/>
        </w:rPr>
        <w:t>In November 2018, the Company issued 4,712,698 shares of Series C Preferred for gross proceeds of $56,725,342. In February 2019, the Company issued 467,179 shares of Series C Preferred for gross proceeds of $5,651,872. A total of 4,219,849 shares of Series C Preferred were issued to related parties.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2019, the rights and preferences of the Series C Preferred are as follows:</w:t>
      </w:r>
    </w:p>
    <w:p>
      <w:pPr>
        <w:spacing w:after="0" w:line="225"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b w:val="1"/>
          <w:bCs w:val="1"/>
          <w:i w:val="1"/>
          <w:iCs w:val="1"/>
          <w:color w:val="auto"/>
        </w:rPr>
        <w:t>Conversion</w:t>
      </w:r>
      <w:r>
        <w:rPr>
          <w:rFonts w:ascii="Arial" w:cs="Arial" w:eastAsia="Arial" w:hAnsi="Arial"/>
          <w:sz w:val="18"/>
          <w:szCs w:val="18"/>
          <w:color w:val="auto"/>
        </w:rPr>
        <w:t>—Each share of Series C Preferred may be converted at any time, at the option of the holder, into a share of common stock. The Series 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automatically converts into shares of common stock when 1) shareholders representing a majority of the outstanding preferred shares calls for such conversion or 2) at the closing of an initial public offering of the Company's common stock at a per share price of at least one and a half (1.5) times the average amount (EUR 16.05 based on all Series C preferred shares issued as of June 30, 2019) paid per Series C preferred share (as adjusted for share splits and similar) and aggregate proceeds in excess of EUR 50,000,000.</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Dividends</w:t>
      </w:r>
      <w:r>
        <w:rPr>
          <w:rFonts w:ascii="Arial" w:cs="Arial" w:eastAsia="Arial" w:hAnsi="Arial"/>
          <w:sz w:val="16"/>
          <w:szCs w:val="16"/>
          <w:color w:val="auto"/>
        </w:rPr>
        <w:t>—Holders are entitled to dividends of 8%, compounded annually if not paid. No dividends have been declared or paid as of June 30, 2019.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company has not accrued dividends on the Series C Preferred since dividends are only payable upon the occurrence of a liquidation event, including the transfer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more than fifty percent of the Company's outstanding shares or the transfer of substantially all of the Company's intellectual property.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$2,811,614 of accrued dividends that were payable through June 30, 2019 was added to the stated liquidation preference amount of the Series C Preferred, which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totaled $65,188,827 at June 30, 2019.</w:t>
      </w:r>
    </w:p>
    <w:p>
      <w:pPr>
        <w:spacing w:after="0" w:line="219" w:lineRule="exact"/>
        <w:rPr>
          <w:sz w:val="20"/>
          <w:szCs w:val="20"/>
          <w:color w:val="auto"/>
        </w:rPr>
      </w:pPr>
    </w:p>
    <w:p>
      <w:pPr>
        <w:jc w:val="both"/>
        <w:ind w:right="220" w:firstLine="351"/>
        <w:spacing w:after="0" w:line="306" w:lineRule="auto"/>
        <w:rPr>
          <w:sz w:val="20"/>
          <w:szCs w:val="20"/>
          <w:color w:val="auto"/>
        </w:rPr>
      </w:pPr>
      <w:r>
        <w:rPr>
          <w:rFonts w:ascii="Arial" w:cs="Arial" w:eastAsia="Arial" w:hAnsi="Arial"/>
          <w:sz w:val="16"/>
          <w:szCs w:val="16"/>
          <w:b w:val="1"/>
          <w:bCs w:val="1"/>
          <w:i w:val="1"/>
          <w:iCs w:val="1"/>
          <w:color w:val="auto"/>
        </w:rPr>
        <w:t>Voting rights</w:t>
      </w:r>
      <w:r>
        <w:rPr>
          <w:rFonts w:ascii="Arial" w:cs="Arial" w:eastAsia="Arial" w:hAnsi="Arial"/>
          <w:sz w:val="16"/>
          <w:szCs w:val="16"/>
          <w:color w:val="auto"/>
        </w:rPr>
        <w:t>—Preferred Stock and common stock vote together as one class on an as converted basis. Common stock voting rights on certain matters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the powers, preferences, and rights of the Preferred Stock. Holders are entitled to vote on all matters and shall have the number of votes equal to the number of shares of common stock into which the shares of Preferred Stock held by such holder are then convertible.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225"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Upon liquidation, dissolution, or winding up of business, the Preferred Stock holders are entitled to receive a liquidation preference in priority to holders of common stock at the original issue price plus, in the case of Series B and Series C Preferred, any unpaid accumulated dividends as follows:</w:t>
      </w:r>
    </w:p>
    <w:p>
      <w:pPr>
        <w:spacing w:after="0" w:line="153" w:lineRule="exact"/>
        <w:rPr>
          <w:sz w:val="20"/>
          <w:szCs w:val="20"/>
          <w:color w:val="auto"/>
        </w:rPr>
      </w:pPr>
    </w:p>
    <w:p>
      <w:pPr>
        <w:ind w:left="1080" w:hanging="532"/>
        <w:spacing w:after="0" w:line="318" w:lineRule="auto"/>
        <w:tabs>
          <w:tab w:leader="none" w:pos="108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If a liquidation event occurs prior to the Company achieving a certain clinical milestone, Series C Preferred shareholders shall receive an amount per Series C Preferred share equal to the original subscription price per Series C Preferred share (as adjusted for share splits and similar) plus unpaid accumulated dividends. Secondly, after the Series C Preferred shareholders have received full payment, the Series B Preferred shareholders shall receive an amount per Series B preferred share equal to the original subscription price per Series B Preferred share (as adjusted for share splits and similar) plus unpaid accumulated dividends. Thirdly, after the Series B and C Preferred shareholders have received full payment,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45" w:name="page246"/>
    <w:bookmarkEnd w:id="245"/>
    <w:p>
      <w:pPr>
        <w:jc w:val="center"/>
        <w:ind w:right="-19"/>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preferred stock (continued)</w:t>
      </w:r>
    </w:p>
    <w:p>
      <w:pPr>
        <w:spacing w:after="0" w:line="231" w:lineRule="exact"/>
        <w:rPr>
          <w:sz w:val="20"/>
          <w:szCs w:val="20"/>
          <w:color w:val="auto"/>
        </w:rPr>
      </w:pPr>
    </w:p>
    <w:p>
      <w:pPr>
        <w:ind w:left="1080" w:right="60"/>
        <w:spacing w:after="0" w:line="256" w:lineRule="auto"/>
        <w:rPr>
          <w:sz w:val="20"/>
          <w:szCs w:val="20"/>
          <w:color w:val="auto"/>
        </w:rPr>
      </w:pPr>
      <w:r>
        <w:rPr>
          <w:rFonts w:ascii="Arial" w:cs="Arial" w:eastAsia="Arial" w:hAnsi="Arial"/>
          <w:sz w:val="18"/>
          <w:szCs w:val="18"/>
          <w:color w:val="auto"/>
        </w:rPr>
        <w:t>Series A Preferred shareholders shall receive an amount per Series A preferred share equal to the original subscription price per Series A Preferred share (as adjusted for share splits and similar). When the Preferred A, B and C shareholders are satisfied in full, any excess assets available for distribution will be allocated ratably among holders of common stock and preferred stock based on their pro rata shareholdings on an as-if-converted basis.</w:t>
      </w:r>
    </w:p>
    <w:p>
      <w:pPr>
        <w:spacing w:after="0" w:line="211" w:lineRule="exact"/>
        <w:rPr>
          <w:sz w:val="20"/>
          <w:szCs w:val="20"/>
          <w:color w:val="auto"/>
        </w:rPr>
      </w:pPr>
    </w:p>
    <w:p>
      <w:pPr>
        <w:ind w:left="1080" w:hanging="532"/>
        <w:spacing w:after="0" w:line="290" w:lineRule="auto"/>
        <w:tabs>
          <w:tab w:leader="none" w:pos="10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If a liquidation event occurs after the Company achieves a certain clinical milestone, Series B and C Preferred shareholders, based on their pro rata shareholdings, shall receive an amount per Series B and C Preferred share equal to the original subscription price per Series B and C Preferred share (as adjusted for share splits and similar) plus unpaid accumulated dividends. Secondly, after the Series B and C Preferred shareholders have received full payment, the Series A Preferred shareholders shall receive an amount per Series A preferred share equal to the original subscription price per Series A Preferred share (as adjusted for share splits and similar). When the Preferred A, B and C shareholders are satisfied in full, any excess assets available for distribution will be allocated ratably among holders of common stock and preferred stock based on their pro rata shareholdings on an as-if-converted basis.</w:t>
      </w:r>
    </w:p>
    <w:p>
      <w:pPr>
        <w:spacing w:after="0" w:line="172"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liquidation preferences apply to each series of preferred stock only to the extent the holders would receive less than three times their respective original purchase prices.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stock</w:t>
      </w:r>
    </w:p>
    <w:p>
      <w:pPr>
        <w:spacing w:after="0" w:line="231" w:lineRule="exact"/>
        <w:rPr>
          <w:sz w:val="20"/>
          <w:szCs w:val="20"/>
          <w:color w:val="auto"/>
        </w:rPr>
      </w:pPr>
    </w:p>
    <w:p>
      <w:pPr>
        <w:ind w:right="260" w:firstLine="348"/>
        <w:spacing w:after="0" w:line="370" w:lineRule="auto"/>
        <w:rPr>
          <w:sz w:val="20"/>
          <w:szCs w:val="20"/>
          <w:color w:val="auto"/>
        </w:rPr>
      </w:pPr>
      <w:r>
        <w:rPr>
          <w:rFonts w:ascii="Arial" w:cs="Arial" w:eastAsia="Arial" w:hAnsi="Arial"/>
          <w:sz w:val="15"/>
          <w:szCs w:val="15"/>
          <w:color w:val="auto"/>
        </w:rPr>
        <w:t>The Company has 1,181,573 shares of common stock outstanding as of June 30, 2019. During the first six months of 2018 and 2019, the Company issued 1,503 and 26,207 shares of common stock to employees for aggregate consideration of $1,415 and $23,118, respectively, as a result of stock option exercises.</w:t>
      </w:r>
    </w:p>
    <w:p>
      <w:pPr>
        <w:spacing w:after="0" w:line="116"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holders of common stock are entitled to one vote for each share of common stock. Subject to the payment in full of all preferential dividends to which the holders of the Preferred Stock are entitled, the holders of common stock shall be entitled to receive dividends out of funds legally available. In the event of any voluntary or involuntary liquidation, dissolution or winding up of the Company, after the payment or provision for payment of all debts and liabilities of the Company and all preferential amounts to which the holders of Preferred Stock are entitled with respect to the distribution of assets in liquidation, the holders of common stock shall be entitled to share ratably in the remaining assets of the Company available for distribution.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option plan</w:t>
      </w:r>
    </w:p>
    <w:p>
      <w:pPr>
        <w:spacing w:after="0" w:line="23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In October 2016, the Board of Directors adopted the 2016 Amended and Restated Stock Option Program (the "Plan"), which provided for the grant of stock options to the Company's employees, officers, directors, and outside consultants for the purchase of up to 1,224,824 shares of the Company's common stock. During 2017, the Plan was amended to provide up to 1,946,849 shares of the Company's common stock. During 2018, the Plan was further amended to provide up to 3,069,999 shares of the Company's common stock. Holders of stock options shall be entitled to exercise the vested portion of the stock option provided that a trade sale, as defined in the plan, or initial public</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6" w:name="page247"/>
    <w:bookmarkEnd w:id="246"/>
    <w:p>
      <w:pPr>
        <w:jc w:val="center"/>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option plan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offering has occurred. The holders of stock options may also exercise the vested portion of the stock option within six months of termination of employment.</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Stock options generally vest over a four-year period and expire in October 2026. The Board of Directors has the discretion to provide for accelerated vesting.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At June 30, 2019, there were 543,647 shares available for future grant under the Plan.</w:t>
      </w:r>
    </w:p>
    <w:p>
      <w:pPr>
        <w:spacing w:after="0" w:line="219"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The Company recorded stock-based compensation expense of $169,854 and $284,909 during the six months ended June 30, 2018 and 2019, respectively. As of June 30, 2019, there was $2,271,127 of unrecognized compensation cost related to nonvested share-based compensation arrangements granted under the Plan, which is expected to be recognized over a weighted-average period of approximately 2.9 years.</w:t>
      </w:r>
    </w:p>
    <w:p>
      <w:pPr>
        <w:spacing w:after="0" w:line="16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fair value of each option award is estimated on the date of grant using Black-Scholes, with the assumptions noted in the table below. Expected volatility for the Company's common stock was determined based on an average of the historical volatility of a peer group of similar public companies. The expected term of options granted to employees was calculated using the simplified method, which represents the average of the contractual term of the option and the weighted-average vesting period of the option. The Company uses the simplified method because it does not have sufficient historical option exercise data to provide a reasonable basis upon which to estimate expected term. The contractual life of the option was used for the expected life of options granted to non-employee. The assumed dividend yield is based upon the Company's expectation of not paying dividends in the foreseeable future. The risk-free rate for periods within the expected life of the option is based upon the Swedish Government Bond Rate in effect at the time of grant.</w:t>
      </w:r>
    </w:p>
    <w:p>
      <w:pPr>
        <w:spacing w:after="0" w:line="172"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In determining the exercise prices for options granted, the Company's Board of Directors has considered the fair value of the common stock as of the measurement date. The fair value of the common stock at each award grant date was based upon a variety of factors, including the results obtained from an independent third-party valuation, the Company's financial position and historical financial performance, the status of technological developments within the Company's proposed products, an evaluation or benchmark of the Company's competition, the current business climate in the marketplace, the illiquid nature of the common stock, arm's length sales of the Company's capital stock, including Preferred Stock, the effect of the rights and preferences of the preferred shareholders, and the prospects of a liquidity event, among others.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assumptions used in Black-Scholes for the six months ended June 30, 2018 and 2019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820" w:type="dxa"/>
            <w:vAlign w:val="bottom"/>
            <w:gridSpan w:val="5"/>
          </w:tcPr>
          <w:p>
            <w:pPr>
              <w:jc w:val="center"/>
              <w:ind w:right="1880"/>
              <w:spacing w:after="0"/>
              <w:rPr>
                <w:sz w:val="20"/>
                <w:szCs w:val="20"/>
                <w:color w:val="auto"/>
              </w:rPr>
            </w:pPr>
            <w:r>
              <w:rPr>
                <w:rFonts w:ascii="Arial" w:cs="Arial" w:eastAsia="Arial" w:hAnsi="Arial"/>
                <w:sz w:val="14"/>
                <w:szCs w:val="14"/>
                <w:b w:val="1"/>
                <w:bCs w:val="1"/>
                <w:color w:val="auto"/>
                <w:w w:val="88"/>
              </w:rPr>
              <w:t>Six Months</w:t>
            </w:r>
          </w:p>
        </w:tc>
      </w:tr>
      <w:tr>
        <w:trPr>
          <w:trHeight w:val="149"/>
        </w:trPr>
        <w:tc>
          <w:tcPr>
            <w:tcW w:w="17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820" w:type="dxa"/>
            <w:vAlign w:val="bottom"/>
            <w:gridSpan w:val="5"/>
          </w:tcPr>
          <w:p>
            <w:pPr>
              <w:jc w:val="center"/>
              <w:ind w:right="1880"/>
              <w:spacing w:after="0" w:line="149" w:lineRule="exact"/>
              <w:rPr>
                <w:sz w:val="20"/>
                <w:szCs w:val="20"/>
                <w:color w:val="auto"/>
              </w:rPr>
            </w:pPr>
            <w:r>
              <w:rPr>
                <w:rFonts w:ascii="Arial" w:cs="Arial" w:eastAsia="Arial" w:hAnsi="Arial"/>
                <w:sz w:val="14"/>
                <w:szCs w:val="14"/>
                <w:b w:val="1"/>
                <w:bCs w:val="1"/>
                <w:color w:val="auto"/>
                <w:w w:val="82"/>
              </w:rPr>
              <w:t>ended</w:t>
            </w:r>
          </w:p>
        </w:tc>
      </w:tr>
      <w:tr>
        <w:trPr>
          <w:trHeight w:val="161"/>
        </w:trPr>
        <w:tc>
          <w:tcPr>
            <w:tcW w:w="17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820" w:type="dxa"/>
            <w:vAlign w:val="bottom"/>
            <w:gridSpan w:val="5"/>
          </w:tcPr>
          <w:p>
            <w:pPr>
              <w:jc w:val="center"/>
              <w:ind w:right="186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17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2018</w:t>
            </w: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10"/>
        </w:trPr>
        <w:tc>
          <w:tcPr>
            <w:tcW w:w="17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12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73.5%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Risk-free rate</w:t>
            </w:r>
          </w:p>
        </w:tc>
        <w:tc>
          <w:tcPr>
            <w:tcW w:w="412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2.6%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412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1720" w:type="dxa"/>
            <w:vAlign w:val="bottom"/>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412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7.6</w:t>
            </w:r>
          </w:p>
        </w:tc>
        <w:tc>
          <w:tcPr>
            <w:tcW w:w="1720" w:type="dxa"/>
            <w:vAlign w:val="bottom"/>
          </w:tcPr>
          <w:p>
            <w:pPr>
              <w:spacing w:after="0"/>
              <w:rPr>
                <w:sz w:val="19"/>
                <w:szCs w:val="19"/>
                <w:color w:val="auto"/>
              </w:rPr>
            </w:pPr>
          </w:p>
        </w:tc>
      </w:tr>
      <w:tr>
        <w:trPr>
          <w:trHeight w:val="424"/>
        </w:trPr>
        <w:tc>
          <w:tcPr>
            <w:tcW w:w="17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460" w:type="dxa"/>
            <w:vAlign w:val="bottom"/>
            <w:gridSpan w:val="2"/>
          </w:tcPr>
          <w:p>
            <w:pPr>
              <w:ind w:left="1060"/>
              <w:spacing w:after="0"/>
              <w:rPr>
                <w:sz w:val="20"/>
                <w:szCs w:val="20"/>
                <w:color w:val="auto"/>
              </w:rPr>
            </w:pPr>
            <w:r>
              <w:rPr>
                <w:rFonts w:ascii="Arial" w:cs="Arial" w:eastAsia="Arial" w:hAnsi="Arial"/>
                <w:sz w:val="18"/>
                <w:szCs w:val="18"/>
                <w:color w:val="auto"/>
              </w:rPr>
              <w:t>F-47</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7" w:name="page248"/>
    <w:bookmarkEnd w:id="247"/>
    <w:p>
      <w:pPr>
        <w:jc w:val="center"/>
        <w:ind w:right="-79"/>
        <w:spacing w:after="0"/>
        <w:rPr>
          <w:sz w:val="20"/>
          <w:szCs w:val="20"/>
          <w:color w:val="auto"/>
        </w:rPr>
      </w:pPr>
      <w:r>
        <w:rPr>
          <w:rFonts w:ascii="Arial" w:cs="Arial" w:eastAsia="Arial" w:hAnsi="Arial"/>
          <w:sz w:val="18"/>
          <w:szCs w:val="18"/>
          <w:b w:val="1"/>
          <w:bCs w:val="1"/>
          <w:color w:val="auto"/>
        </w:rPr>
        <w:t>Aprea Therapeutics AB</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option plan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option activity under the Plan at December 31, 2018 and June 30, 2019 are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1"/>
              </w:rPr>
              <w:t>exercise</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price per</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8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5"/>
              </w:rPr>
              <w:t>share</w:t>
            </w:r>
          </w:p>
        </w:tc>
        <w:tc>
          <w:tcPr>
            <w:tcW w:w="1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term (in years)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1,844,188</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4,382,781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Granted</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984,596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(26,207)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Cancelled/Forfeited</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(40,783)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0.99</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2,761,794</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4,234,886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Exercisable at June 30, 2019</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gridSpan w:val="2"/>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Vested or expected to vest at June 30, 2019</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2,761,794</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1.66</w:t>
            </w:r>
          </w:p>
        </w:tc>
        <w:tc>
          <w:tcPr>
            <w:tcW w:w="12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7.2</w:t>
            </w:r>
          </w:p>
        </w:tc>
        <w:tc>
          <w:tcPr>
            <w:tcW w:w="2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4,234,886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weighted-average grant date fair value of options granted during the six months ended June 30, 2019, was $2.23 per share. No options were granted during the six months ended June 30,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 September 20, 2019, the Company consummated a corporate reorganization, pursuant to which all of the issued and outstanding stock and options of Aprea Therapeutics AB, or Aprea AB, was exchanged for common stock, preferred stock or options, as applicable, of Aprea Therapeutics, Inc. As a result, Aprea Therapeutics AB, became a wholly-owned subsidiary of Aprea Therapeutics, Inc.</w:t>
      </w:r>
    </w:p>
    <w:p>
      <w:pPr>
        <w:spacing w:after="0" w:line="19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In September 2019, the Company's Board of Directors and stockholders approved a 1-for-1.6045 stock split of the Company's preferred and common stock. All share and per share amounts in the consolidated financial statements and notes thereto have been retroactively adjusted for all periods presented to give effect to this split.</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2" w:right="319" w:bottom="1440" w:gutter="0" w:footer="0" w:header="0"/>
        </w:sectPr>
      </w:pPr>
    </w:p>
    <w:bookmarkStart w:id="248" w:name="page249"/>
    <w:bookmarkEnd w:id="248"/>
    <w:p>
      <w:pPr>
        <w:jc w:val="center"/>
        <w:ind w:right="10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431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43180"/>
                    </a:xfrm>
                    <a:prstGeom prst="rect">
                      <a:avLst/>
                    </a:prstGeom>
                    <a:noFill/>
                  </pic:spPr>
                </pic:pic>
              </a:graphicData>
            </a:graphic>
          </wp:anchor>
        </w:drawing>
        <w:t>5,666,667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1999615</wp:posOffset>
            </wp:positionH>
            <wp:positionV relativeFrom="paragraph">
              <wp:posOffset>160020</wp:posOffset>
            </wp:positionV>
            <wp:extent cx="1809750" cy="11836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809750" cy="118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00"/>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1957070</wp:posOffset>
            </wp:positionH>
            <wp:positionV relativeFrom="paragraph">
              <wp:posOffset>160020</wp:posOffset>
            </wp:positionV>
            <wp:extent cx="189547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1957070</wp:posOffset>
            </wp:positionH>
            <wp:positionV relativeFrom="paragraph">
              <wp:posOffset>148590</wp:posOffset>
            </wp:positionV>
            <wp:extent cx="189547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3780" w:val="left"/>
          <w:tab w:leader="none" w:pos="6940" w:val="left"/>
        </w:tabs>
        <w:rPr>
          <w:sz w:val="20"/>
          <w:szCs w:val="20"/>
          <w:color w:val="auto"/>
        </w:rPr>
      </w:pPr>
      <w:r>
        <w:rPr>
          <w:rFonts w:ascii="Arial" w:cs="Arial" w:eastAsia="Arial" w:hAnsi="Arial"/>
          <w:sz w:val="24"/>
          <w:szCs w:val="24"/>
          <w:b w:val="1"/>
          <w:bCs w:val="1"/>
          <w:color w:val="auto"/>
        </w:rPr>
        <w:t>J.P. Morgan</w:t>
      </w:r>
      <w:r>
        <w:rPr>
          <w:sz w:val="20"/>
          <w:szCs w:val="20"/>
          <w:color w:val="auto"/>
        </w:rPr>
        <w:tab/>
      </w:r>
      <w:r>
        <w:rPr>
          <w:rFonts w:ascii="Arial" w:cs="Arial" w:eastAsia="Arial" w:hAnsi="Arial"/>
          <w:sz w:val="24"/>
          <w:szCs w:val="24"/>
          <w:b w:val="1"/>
          <w:bCs w:val="1"/>
          <w:color w:val="auto"/>
        </w:rPr>
        <w:t>Morgan Stanley</w:t>
      </w:r>
      <w:r>
        <w:rPr>
          <w:sz w:val="20"/>
          <w:szCs w:val="20"/>
          <w:color w:val="auto"/>
        </w:rPr>
        <w:tab/>
      </w:r>
      <w:r>
        <w:rPr>
          <w:rFonts w:ascii="Arial" w:cs="Arial" w:eastAsia="Arial" w:hAnsi="Arial"/>
          <w:sz w:val="23"/>
          <w:szCs w:val="23"/>
          <w:b w:val="1"/>
          <w:bCs w:val="1"/>
          <w:color w:val="auto"/>
        </w:rPr>
        <w:t>RBC Capital Markets</w:t>
      </w:r>
    </w:p>
    <w:p>
      <w:pPr>
        <w:spacing w:after="0" w:line="23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October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152400</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169545</wp:posOffset>
            </wp:positionV>
            <wp:extent cx="7246620" cy="342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338455</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240"/>
          </w:cols>
          <w:pgMar w:left="1380" w:top="827" w:right="1279" w:bottom="1440" w:gutter="0" w:footer="0" w:header="0"/>
        </w:sectPr>
      </w:pPr>
    </w:p>
    <w:bookmarkStart w:id="249" w:name="page250"/>
    <w:bookmarkEnd w:id="2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B5AF5C"/>
    <w:multiLevelType w:val="hybridMultilevel"/>
    <w:lvl w:ilvl="0">
      <w:lvlJc w:val="left"/>
      <w:lvlText w:val="(%1)"/>
      <w:numFmt w:val="decimal"/>
      <w:start w:val="1"/>
    </w:lvl>
  </w:abstractNum>
  <w:abstractNum w:abstractNumId="1">
    <w:nsid w:val="741226BB"/>
    <w:multiLevelType w:val="hybridMultilevel"/>
    <w:lvl w:ilvl="0">
      <w:lvlJc w:val="left"/>
      <w:lvlText w:val="(%1)"/>
      <w:numFmt w:val="decimal"/>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
      <w:numFmt w:val="bullet"/>
      <w:start w:val="1"/>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1)"/>
      <w:numFmt w:val="decimal"/>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1)"/>
      <w:numFmt w:val="decimal"/>
      <w:start w:val="1"/>
    </w:lvl>
  </w:abstractNum>
  <w:abstractNum w:abstractNumId="12">
    <w:nsid w:val="25A70BF7"/>
    <w:multiLevelType w:val="hybridMultilevel"/>
    <w:lvl w:ilvl="0">
      <w:lvlJc w:val="left"/>
      <w:lvlText w:val="•"/>
      <w:numFmt w:val="bullet"/>
      <w:start w:val="1"/>
    </w:lvl>
  </w:abstractNum>
  <w:abstractNum w:abstractNumId="13">
    <w:nsid w:val="1DBABF00"/>
    <w:multiLevelType w:val="hybridMultilevel"/>
    <w:lvl w:ilvl="0">
      <w:lvlJc w:val="left"/>
      <w:lvlText w:val="•"/>
      <w:numFmt w:val="bullet"/>
      <w:start w:val="1"/>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
      <w:numFmt w:val="bullet"/>
      <w:start w:val="1"/>
    </w:lvl>
  </w:abstractNum>
  <w:abstractNum w:abstractNumId="16">
    <w:nsid w:val="1381823A"/>
    <w:multiLevelType w:val="hybridMultilevel"/>
    <w:lvl w:ilvl="0">
      <w:lvlJc w:val="left"/>
      <w:lvlText w:val="•"/>
      <w:numFmt w:val="bullet"/>
      <w:start w:val="1"/>
    </w:lvl>
  </w:abstractNum>
  <w:abstractNum w:abstractNumId="17">
    <w:nsid w:val="5DB70AE5"/>
    <w:multiLevelType w:val="hybridMultilevel"/>
    <w:lvl w:ilvl="0">
      <w:lvlJc w:val="left"/>
      <w:lvlText w:val="•"/>
      <w:numFmt w:val="bullet"/>
      <w:start w:val="1"/>
    </w:lvl>
  </w:abstractNum>
  <w:abstractNum w:abstractNumId="18">
    <w:nsid w:val="100F8FCA"/>
    <w:multiLevelType w:val="hybridMultilevel"/>
    <w:lvl w:ilvl="0">
      <w:lvlJc w:val="left"/>
      <w:lvlText w:val="•"/>
      <w:numFmt w:val="bullet"/>
      <w:start w:val="1"/>
    </w:lvl>
  </w:abstractNum>
  <w:abstractNum w:abstractNumId="19">
    <w:nsid w:val="6590700B"/>
    <w:multiLevelType w:val="hybridMultilevel"/>
    <w:lvl w:ilvl="0">
      <w:lvlJc w:val="left"/>
      <w:lvlText w:val="•"/>
      <w:numFmt w:val="bullet"/>
      <w:start w:val="1"/>
    </w:lvl>
  </w:abstractNum>
  <w:abstractNum w:abstractNumId="20">
    <w:nsid w:val="15014ACB"/>
    <w:multiLevelType w:val="hybridMultilevel"/>
    <w:lvl w:ilvl="0">
      <w:lvlJc w:val="left"/>
      <w:lvlText w:val="•"/>
      <w:numFmt w:val="bullet"/>
      <w:start w:val="1"/>
    </w:lvl>
  </w:abstractNum>
  <w:abstractNum w:abstractNumId="21">
    <w:nsid w:val="5F5E7FD0"/>
    <w:multiLevelType w:val="hybridMultilevel"/>
    <w:lvl w:ilvl="0">
      <w:lvlJc w:val="left"/>
      <w:lvlText w:val="•"/>
      <w:numFmt w:val="bullet"/>
      <w:start w:val="1"/>
    </w:lvl>
  </w:abstractNum>
  <w:abstractNum w:abstractNumId="22">
    <w:nsid w:val="98A3148"/>
    <w:multiLevelType w:val="hybridMultilevel"/>
    <w:lvl w:ilvl="0">
      <w:lvlJc w:val="left"/>
      <w:lvlText w:val="•"/>
      <w:numFmt w:val="bullet"/>
      <w:start w:val="1"/>
    </w:lvl>
  </w:abstractNum>
  <w:abstractNum w:abstractNumId="23">
    <w:nsid w:val="799D0247"/>
    <w:multiLevelType w:val="hybridMultilevel"/>
    <w:lvl w:ilvl="0">
      <w:lvlJc w:val="left"/>
      <w:lvlText w:val="•"/>
      <w:numFmt w:val="bullet"/>
      <w:start w:val="1"/>
    </w:lvl>
  </w:abstractNum>
  <w:abstractNum w:abstractNumId="24">
    <w:nsid w:val="6B94764"/>
    <w:multiLevelType w:val="hybridMultilevel"/>
    <w:lvl w:ilvl="0">
      <w:lvlJc w:val="left"/>
      <w:lvlText w:val="•"/>
      <w:numFmt w:val="bullet"/>
      <w:start w:val="1"/>
    </w:lvl>
  </w:abstractNum>
  <w:abstractNum w:abstractNumId="25">
    <w:nsid w:val="42C296BD"/>
    <w:multiLevelType w:val="hybridMultilevel"/>
    <w:lvl w:ilvl="0">
      <w:lvlJc w:val="left"/>
      <w:lvlText w:val="•"/>
      <w:numFmt w:val="bullet"/>
      <w:start w:val="1"/>
    </w:lvl>
  </w:abstractNum>
  <w:abstractNum w:abstractNumId="26">
    <w:nsid w:val="168E121F"/>
    <w:multiLevelType w:val="hybridMultilevel"/>
    <w:lvl w:ilvl="0">
      <w:lvlJc w:val="left"/>
      <w:lvlText w:val="•"/>
      <w:numFmt w:val="bullet"/>
      <w:start w:val="1"/>
    </w:lvl>
  </w:abstractNum>
  <w:abstractNum w:abstractNumId="27">
    <w:nsid w:val="1EBA5D23"/>
    <w:multiLevelType w:val="hybridMultilevel"/>
    <w:lvl w:ilvl="0">
      <w:lvlJc w:val="left"/>
      <w:lvlText w:val="•"/>
      <w:numFmt w:val="bullet"/>
      <w:start w:val="1"/>
    </w:lvl>
  </w:abstractNum>
  <w:abstractNum w:abstractNumId="28">
    <w:nsid w:val="661E3F1E"/>
    <w:multiLevelType w:val="hybridMultilevel"/>
    <w:lvl w:ilvl="0">
      <w:lvlJc w:val="left"/>
      <w:lvlText w:val="•"/>
      <w:numFmt w:val="bullet"/>
      <w:start w:val="1"/>
    </w:lvl>
  </w:abstractNum>
  <w:abstractNum w:abstractNumId="29">
    <w:nsid w:val="5DC79EA8"/>
    <w:multiLevelType w:val="hybridMultilevel"/>
    <w:lvl w:ilvl="0">
      <w:lvlJc w:val="left"/>
      <w:lvlText w:val="•"/>
      <w:numFmt w:val="bullet"/>
      <w:start w:val="1"/>
    </w:lvl>
  </w:abstractNum>
  <w:abstractNum w:abstractNumId="30">
    <w:nsid w:val="540A471C"/>
    <w:multiLevelType w:val="hybridMultilevel"/>
    <w:lvl w:ilvl="0">
      <w:lvlJc w:val="left"/>
      <w:lvlText w:val="•"/>
      <w:numFmt w:val="bullet"/>
      <w:start w:val="1"/>
    </w:lvl>
  </w:abstractNum>
  <w:abstractNum w:abstractNumId="31">
    <w:nsid w:val="7BD3EE7B"/>
    <w:multiLevelType w:val="hybridMultilevel"/>
    <w:lvl w:ilvl="0">
      <w:lvlJc w:val="left"/>
      <w:lvlText w:val="•"/>
      <w:numFmt w:val="bullet"/>
      <w:start w:val="1"/>
    </w:lvl>
  </w:abstractNum>
  <w:abstractNum w:abstractNumId="32">
    <w:nsid w:val="51D9C564"/>
    <w:multiLevelType w:val="hybridMultilevel"/>
    <w:lvl w:ilvl="0">
      <w:lvlJc w:val="left"/>
      <w:lvlText w:val="•"/>
      <w:numFmt w:val="bullet"/>
      <w:start w:val="1"/>
    </w:lvl>
  </w:abstractNum>
  <w:abstractNum w:abstractNumId="33">
    <w:nsid w:val="613EFDC5"/>
    <w:multiLevelType w:val="hybridMultilevel"/>
    <w:lvl w:ilvl="0">
      <w:lvlJc w:val="left"/>
      <w:lvlText w:val="•"/>
      <w:numFmt w:val="bullet"/>
      <w:start w:val="1"/>
    </w:lvl>
  </w:abstractNum>
  <w:abstractNum w:abstractNumId="34">
    <w:nsid w:val="BF72B14"/>
    <w:multiLevelType w:val="hybridMultilevel"/>
    <w:lvl w:ilvl="0">
      <w:lvlJc w:val="left"/>
      <w:lvlText w:val="•"/>
      <w:numFmt w:val="bullet"/>
      <w:start w:val="1"/>
    </w:lvl>
  </w:abstractNum>
  <w:abstractNum w:abstractNumId="35">
    <w:nsid w:val="11447B73"/>
    <w:multiLevelType w:val="hybridMultilevel"/>
    <w:lvl w:ilvl="0">
      <w:lvlJc w:val="left"/>
      <w:lvlText w:val="(%1)"/>
      <w:numFmt w:val="decimal"/>
      <w:start w:val="2"/>
    </w:lvl>
  </w:abstractNum>
  <w:abstractNum w:abstractNumId="36">
    <w:nsid w:val="42963E5A"/>
    <w:multiLevelType w:val="hybridMultilevel"/>
    <w:lvl w:ilvl="0">
      <w:lvlJc w:val="left"/>
      <w:lvlText w:val="•"/>
      <w:numFmt w:val="bullet"/>
      <w:start w:val="1"/>
    </w:lvl>
  </w:abstractNum>
  <w:abstractNum w:abstractNumId="37">
    <w:nsid w:val="A0382C5"/>
    <w:multiLevelType w:val="hybridMultilevel"/>
    <w:lvl w:ilvl="0">
      <w:lvlJc w:val="left"/>
      <w:lvlText w:val="•"/>
      <w:numFmt w:val="bullet"/>
      <w:start w:val="1"/>
    </w:lvl>
  </w:abstractNum>
  <w:abstractNum w:abstractNumId="38">
    <w:nsid w:val="8F2B15E"/>
    <w:multiLevelType w:val="hybridMultilevel"/>
    <w:lvl w:ilvl="0">
      <w:lvlJc w:val="left"/>
      <w:lvlText w:val="•"/>
      <w:numFmt w:val="bullet"/>
      <w:start w:val="1"/>
    </w:lvl>
  </w:abstractNum>
  <w:abstractNum w:abstractNumId="39">
    <w:nsid w:val="1A32234B"/>
    <w:multiLevelType w:val="hybridMultilevel"/>
    <w:lvl w:ilvl="0">
      <w:lvlJc w:val="left"/>
      <w:lvlText w:val="•"/>
      <w:numFmt w:val="bullet"/>
      <w:start w:val="1"/>
    </w:lvl>
  </w:abstractNum>
  <w:abstractNum w:abstractNumId="40">
    <w:nsid w:val="3B0FD379"/>
    <w:multiLevelType w:val="hybridMultilevel"/>
    <w:lvl w:ilvl="0">
      <w:lvlJc w:val="left"/>
      <w:lvlText w:val="•"/>
      <w:numFmt w:val="bullet"/>
      <w:start w:val="1"/>
    </w:lvl>
  </w:abstractNum>
  <w:abstractNum w:abstractNumId="41">
    <w:nsid w:val="68EB2F63"/>
    <w:multiLevelType w:val="hybridMultilevel"/>
    <w:lvl w:ilvl="0">
      <w:lvlJc w:val="left"/>
      <w:lvlText w:val="•"/>
      <w:numFmt w:val="bullet"/>
      <w:start w:val="1"/>
    </w:lvl>
  </w:abstractNum>
  <w:abstractNum w:abstractNumId="42">
    <w:nsid w:val="4962813B"/>
    <w:multiLevelType w:val="hybridMultilevel"/>
    <w:lvl w:ilvl="0">
      <w:lvlJc w:val="left"/>
      <w:lvlText w:val="•"/>
      <w:numFmt w:val="bullet"/>
      <w:start w:val="1"/>
    </w:lvl>
  </w:abstractNum>
  <w:abstractNum w:abstractNumId="43">
    <w:nsid w:val="60B6DF70"/>
    <w:multiLevelType w:val="hybridMultilevel"/>
    <w:lvl w:ilvl="0">
      <w:lvlJc w:val="left"/>
      <w:lvlText w:val="•"/>
      <w:numFmt w:val="bullet"/>
      <w:start w:val="1"/>
    </w:lvl>
  </w:abstractNum>
  <w:abstractNum w:abstractNumId="44">
    <w:nsid w:val="6A5EE64"/>
    <w:multiLevelType w:val="hybridMultilevel"/>
    <w:lvl w:ilvl="0">
      <w:lvlJc w:val="left"/>
      <w:lvlText w:val="•"/>
      <w:numFmt w:val="bullet"/>
      <w:start w:val="1"/>
    </w:lvl>
  </w:abstractNum>
  <w:abstractNum w:abstractNumId="45">
    <w:nsid w:val="14330624"/>
    <w:multiLevelType w:val="hybridMultilevel"/>
    <w:lvl w:ilvl="0">
      <w:lvlJc w:val="left"/>
      <w:lvlText w:val="•"/>
      <w:numFmt w:val="bullet"/>
      <w:start w:val="1"/>
    </w:lvl>
  </w:abstractNum>
  <w:abstractNum w:abstractNumId="46">
    <w:nsid w:val="7FFFCA11"/>
    <w:multiLevelType w:val="hybridMultilevel"/>
    <w:lvl w:ilvl="0">
      <w:lvlJc w:val="left"/>
      <w:lvlText w:val="•"/>
      <w:numFmt w:val="bullet"/>
      <w:start w:val="1"/>
    </w:lvl>
  </w:abstractNum>
  <w:abstractNum w:abstractNumId="47">
    <w:nsid w:val="1A27709E"/>
    <w:multiLevelType w:val="hybridMultilevel"/>
    <w:lvl w:ilvl="0">
      <w:lvlJc w:val="left"/>
      <w:lvlText w:val="•"/>
      <w:numFmt w:val="bullet"/>
      <w:start w:val="1"/>
    </w:lvl>
  </w:abstractNum>
  <w:abstractNum w:abstractNumId="48">
    <w:nsid w:val="71EA1109"/>
    <w:multiLevelType w:val="hybridMultilevel"/>
    <w:lvl w:ilvl="0">
      <w:lvlJc w:val="left"/>
      <w:lvlText w:val="•"/>
      <w:numFmt w:val="bullet"/>
      <w:start w:val="1"/>
    </w:lvl>
  </w:abstractNum>
  <w:abstractNum w:abstractNumId="49">
    <w:nsid w:val="100F59DC"/>
    <w:multiLevelType w:val="hybridMultilevel"/>
    <w:lvl w:ilvl="0">
      <w:lvlJc w:val="left"/>
      <w:lvlText w:val="•"/>
      <w:numFmt w:val="bullet"/>
      <w:start w:val="1"/>
    </w:lvl>
  </w:abstractNum>
  <w:abstractNum w:abstractNumId="50">
    <w:nsid w:val="7FB7E0AA"/>
    <w:multiLevelType w:val="hybridMultilevel"/>
    <w:lvl w:ilvl="0">
      <w:lvlJc w:val="left"/>
      <w:lvlText w:val="•"/>
      <w:numFmt w:val="bullet"/>
      <w:start w:val="1"/>
    </w:lvl>
  </w:abstractNum>
  <w:abstractNum w:abstractNumId="51">
    <w:nsid w:val="6EB5BD4"/>
    <w:multiLevelType w:val="hybridMultilevel"/>
    <w:lvl w:ilvl="0">
      <w:lvlJc w:val="left"/>
      <w:lvlText w:val="•"/>
      <w:numFmt w:val="bullet"/>
      <w:start w:val="1"/>
    </w:lvl>
  </w:abstractNum>
  <w:abstractNum w:abstractNumId="52">
    <w:nsid w:val="6F6DD9AC"/>
    <w:multiLevelType w:val="hybridMultilevel"/>
    <w:lvl w:ilvl="0">
      <w:lvlJc w:val="left"/>
      <w:lvlText w:val="(%1)"/>
      <w:numFmt w:val="decimal"/>
      <w:start w:val="1"/>
    </w:lvl>
  </w:abstractNum>
  <w:abstractNum w:abstractNumId="53">
    <w:nsid w:val="94211F2"/>
    <w:multiLevelType w:val="hybridMultilevel"/>
    <w:lvl w:ilvl="0">
      <w:lvlJc w:val="left"/>
      <w:lvlText w:val="•"/>
      <w:numFmt w:val="bullet"/>
      <w:start w:val="1"/>
    </w:lvl>
  </w:abstractNum>
  <w:abstractNum w:abstractNumId="54">
    <w:nsid w:val="885E1B"/>
    <w:multiLevelType w:val="hybridMultilevel"/>
    <w:lvl w:ilvl="0">
      <w:lvlJc w:val="left"/>
      <w:lvlText w:val="•"/>
      <w:numFmt w:val="bullet"/>
      <w:start w:val="1"/>
    </w:lvl>
  </w:abstractNum>
  <w:abstractNum w:abstractNumId="55">
    <w:nsid w:val="76272110"/>
    <w:multiLevelType w:val="hybridMultilevel"/>
    <w:lvl w:ilvl="0">
      <w:lvlJc w:val="left"/>
      <w:lvlText w:val="•"/>
      <w:numFmt w:val="bullet"/>
      <w:start w:val="1"/>
    </w:lvl>
  </w:abstractNum>
  <w:abstractNum w:abstractNumId="56">
    <w:nsid w:val="4C04A8AF"/>
    <w:multiLevelType w:val="hybridMultilevel"/>
    <w:lvl w:ilvl="0">
      <w:lvlJc w:val="left"/>
      <w:lvlText w:val="•"/>
      <w:numFmt w:val="bullet"/>
      <w:start w:val="1"/>
    </w:lvl>
  </w:abstractNum>
  <w:abstractNum w:abstractNumId="57">
    <w:nsid w:val="1716703B"/>
    <w:multiLevelType w:val="hybridMultilevel"/>
    <w:lvl w:ilvl="0">
      <w:lvlJc w:val="left"/>
      <w:lvlText w:val="•"/>
      <w:numFmt w:val="bullet"/>
      <w:start w:val="1"/>
    </w:lvl>
  </w:abstractNum>
  <w:abstractNum w:abstractNumId="58">
    <w:nsid w:val="14E17E33"/>
    <w:multiLevelType w:val="hybridMultilevel"/>
    <w:lvl w:ilvl="0">
      <w:lvlJc w:val="left"/>
      <w:lvlText w:val="•"/>
      <w:numFmt w:val="bullet"/>
      <w:start w:val="1"/>
    </w:lvl>
  </w:abstractNum>
  <w:abstractNum w:abstractNumId="59">
    <w:nsid w:val="3222E7CD"/>
    <w:multiLevelType w:val="hybridMultilevel"/>
    <w:lvl w:ilvl="0">
      <w:lvlJc w:val="left"/>
      <w:lvlText w:val="•"/>
      <w:numFmt w:val="bullet"/>
      <w:start w:val="1"/>
    </w:lvl>
  </w:abstractNum>
  <w:abstractNum w:abstractNumId="60">
    <w:nsid w:val="74DE0EE3"/>
    <w:multiLevelType w:val="hybridMultilevel"/>
    <w:lvl w:ilvl="0">
      <w:lvlJc w:val="left"/>
      <w:lvlText w:val="•"/>
      <w:numFmt w:val="bullet"/>
      <w:start w:val="1"/>
    </w:lvl>
  </w:abstractNum>
  <w:abstractNum w:abstractNumId="61">
    <w:nsid w:val="68EBC550"/>
    <w:multiLevelType w:val="hybridMultilevel"/>
    <w:lvl w:ilvl="0">
      <w:lvlJc w:val="left"/>
      <w:lvlText w:val="(%1)"/>
      <w:numFmt w:val="decimal"/>
      <w:start w:val="1"/>
    </w:lvl>
  </w:abstractNum>
  <w:abstractNum w:abstractNumId="62">
    <w:nsid w:val="2DF6D648"/>
    <w:multiLevelType w:val="hybridMultilevel"/>
    <w:lvl w:ilvl="0">
      <w:lvlJc w:val="left"/>
      <w:lvlText w:val="(%1)"/>
      <w:numFmt w:val="decimal"/>
      <w:start w:val="1"/>
    </w:lvl>
  </w:abstractNum>
  <w:abstractNum w:abstractNumId="63">
    <w:nsid w:val="46B7D447"/>
    <w:multiLevelType w:val="hybridMultilevel"/>
    <w:lvl w:ilvl="0">
      <w:lvlJc w:val="left"/>
      <w:lvlText w:val="•"/>
      <w:numFmt w:val="bullet"/>
      <w:start w:val="1"/>
    </w:lvl>
  </w:abstractNum>
  <w:abstractNum w:abstractNumId="64">
    <w:nsid w:val="4A2AC315"/>
    <w:multiLevelType w:val="hybridMultilevel"/>
    <w:lvl w:ilvl="0">
      <w:lvlJc w:val="left"/>
      <w:lvlText w:val="•"/>
      <w:numFmt w:val="bullet"/>
      <w:start w:val="1"/>
    </w:lvl>
  </w:abstractNum>
  <w:abstractNum w:abstractNumId="65">
    <w:nsid w:val="39EE015C"/>
    <w:multiLevelType w:val="hybridMultilevel"/>
    <w:lvl w:ilvl="0">
      <w:lvlJc w:val="left"/>
      <w:lvlText w:val="•"/>
      <w:numFmt w:val="bullet"/>
      <w:start w:val="1"/>
    </w:lvl>
  </w:abstractNum>
  <w:abstractNum w:abstractNumId="66">
    <w:nsid w:val="57FC4FBB"/>
    <w:multiLevelType w:val="hybridMultilevel"/>
    <w:lvl w:ilvl="0">
      <w:lvlJc w:val="left"/>
      <w:lvlText w:val="•"/>
      <w:numFmt w:val="bullet"/>
      <w:start w:val="1"/>
    </w:lvl>
  </w:abstractNum>
  <w:abstractNum w:abstractNumId="67">
    <w:nsid w:val="CC1016F"/>
    <w:multiLevelType w:val="hybridMultilevel"/>
    <w:lvl w:ilvl="0">
      <w:lvlJc w:val="left"/>
      <w:lvlText w:val="(%1)"/>
      <w:numFmt w:val="decimal"/>
      <w:start w:val="2"/>
    </w:lvl>
  </w:abstractNum>
  <w:abstractNum w:abstractNumId="68">
    <w:nsid w:val="43F18422"/>
    <w:multiLevelType w:val="hybridMultilevel"/>
    <w:lvl w:ilvl="0">
      <w:lvlJc w:val="left"/>
      <w:lvlText w:val="(%1)"/>
      <w:numFmt w:val="decimal"/>
      <w:start w:val="1"/>
    </w:lvl>
  </w:abstractNum>
  <w:abstractNum w:abstractNumId="69">
    <w:nsid w:val="60EF0119"/>
    <w:multiLevelType w:val="hybridMultilevel"/>
    <w:lvl w:ilvl="0">
      <w:lvlJc w:val="left"/>
      <w:lvlText w:val="(%1)"/>
      <w:numFmt w:val="decimal"/>
      <w:start w:val="1"/>
    </w:lvl>
  </w:abstractNum>
  <w:abstractNum w:abstractNumId="70">
    <w:nsid w:val="26F324BA"/>
    <w:multiLevelType w:val="hybridMultilevel"/>
    <w:lvl w:ilvl="0">
      <w:lvlJc w:val="left"/>
      <w:lvlText w:val="(%1)"/>
      <w:numFmt w:val="decimal"/>
      <w:start w:val="1"/>
    </w:lvl>
  </w:abstractNum>
  <w:abstractNum w:abstractNumId="71">
    <w:nsid w:val="7F01579B"/>
    <w:multiLevelType w:val="hybridMultilevel"/>
    <w:lvl w:ilvl="0">
      <w:lvlJc w:val="left"/>
      <w:lvlText w:val="(%1)"/>
      <w:numFmt w:val="decimal"/>
      <w:start w:val="1"/>
    </w:lvl>
  </w:abstractNum>
  <w:abstractNum w:abstractNumId="72">
    <w:nsid w:val="49DA307D"/>
    <w:multiLevelType w:val="hybridMultilevel"/>
    <w:lvl w:ilvl="0">
      <w:lvlJc w:val="left"/>
      <w:lvlText w:val="(%1)"/>
      <w:numFmt w:val="decimal"/>
      <w:start w:val="1"/>
    </w:lvl>
  </w:abstractNum>
  <w:abstractNum w:abstractNumId="73">
    <w:nsid w:val="7055A5F5"/>
    <w:multiLevelType w:val="hybridMultilevel"/>
    <w:lvl w:ilvl="0">
      <w:lvlJc w:val="left"/>
      <w:lvlText w:val="•"/>
      <w:numFmt w:val="bullet"/>
      <w:start w:val="1"/>
    </w:lvl>
  </w:abstractNum>
  <w:abstractNum w:abstractNumId="74">
    <w:nsid w:val="5FB8370B"/>
    <w:multiLevelType w:val="hybridMultilevel"/>
    <w:lvl w:ilvl="0">
      <w:lvlJc w:val="left"/>
      <w:lvlText w:val="•"/>
      <w:numFmt w:val="bullet"/>
      <w:start w:val="1"/>
    </w:lvl>
  </w:abstractNum>
  <w:abstractNum w:abstractNumId="75">
    <w:nsid w:val="50801EE1"/>
    <w:multiLevelType w:val="hybridMultilevel"/>
    <w:lvl w:ilvl="0">
      <w:lvlJc w:val="left"/>
      <w:lvlText w:val="•"/>
      <w:numFmt w:val="bullet"/>
      <w:start w:val="1"/>
    </w:lvl>
  </w:abstractNum>
  <w:abstractNum w:abstractNumId="76">
    <w:nsid w:val="488AC1A"/>
    <w:multiLevelType w:val="hybridMultilevel"/>
    <w:lvl w:ilvl="0">
      <w:lvlJc w:val="left"/>
      <w:lvlText w:val="•"/>
      <w:numFmt w:val="bullet"/>
      <w:start w:val="1"/>
    </w:lvl>
  </w:abstractNum>
  <w:abstractNum w:abstractNumId="77">
    <w:nsid w:val="5FB8011C"/>
    <w:multiLevelType w:val="hybridMultilevel"/>
    <w:lvl w:ilvl="0">
      <w:lvlJc w:val="left"/>
      <w:lvlText w:val="•"/>
      <w:numFmt w:val="bullet"/>
      <w:start w:val="1"/>
    </w:lvl>
  </w:abstractNum>
  <w:abstractNum w:abstractNumId="78">
    <w:nsid w:val="6AA78F7F"/>
    <w:multiLevelType w:val="hybridMultilevel"/>
    <w:lvl w:ilvl="0">
      <w:lvlJc w:val="left"/>
      <w:lvlText w:val="•"/>
      <w:numFmt w:val="bullet"/>
      <w:start w:val="1"/>
    </w:lvl>
  </w:abstractNum>
  <w:abstractNum w:abstractNumId="79">
    <w:nsid w:val="7672BD23"/>
    <w:multiLevelType w:val="hybridMultilevel"/>
    <w:lvl w:ilvl="0">
      <w:lvlJc w:val="left"/>
      <w:lvlText w:val="•"/>
      <w:numFmt w:val="bullet"/>
      <w:start w:val="1"/>
    </w:lvl>
  </w:abstractNum>
  <w:abstractNum w:abstractNumId="80">
    <w:nsid w:val="6FC75AF8"/>
    <w:multiLevelType w:val="hybridMultilevel"/>
    <w:lvl w:ilvl="0">
      <w:lvlJc w:val="left"/>
      <w:lvlText w:val="•"/>
      <w:numFmt w:val="bullet"/>
      <w:start w:val="1"/>
    </w:lvl>
  </w:abstractNum>
  <w:abstractNum w:abstractNumId="81">
    <w:nsid w:val="6A5F7029"/>
    <w:multiLevelType w:val="hybridMultilevel"/>
    <w:lvl w:ilvl="0">
      <w:lvlJc w:val="left"/>
      <w:lvlText w:val="•"/>
      <w:numFmt w:val="bullet"/>
      <w:start w:val="1"/>
    </w:lvl>
  </w:abstractNum>
  <w:abstractNum w:abstractNumId="82">
    <w:nsid w:val="7D5E18F8"/>
    <w:multiLevelType w:val="hybridMultilevel"/>
    <w:lvl w:ilvl="0">
      <w:lvlJc w:val="left"/>
      <w:lvlText w:val="•"/>
      <w:numFmt w:val="bullet"/>
      <w:start w:val="1"/>
    </w:lvl>
  </w:abstractNum>
  <w:abstractNum w:abstractNumId="83">
    <w:nsid w:val="5F3534A4"/>
    <w:multiLevelType w:val="hybridMultilevel"/>
    <w:lvl w:ilvl="0">
      <w:lvlJc w:val="left"/>
      <w:lvlText w:val="•"/>
      <w:numFmt w:val="bullet"/>
      <w:start w:val="1"/>
    </w:lvl>
  </w:abstractNum>
  <w:abstractNum w:abstractNumId="84">
    <w:nsid w:val="73A1821B"/>
    <w:multiLevelType w:val="hybridMultilevel"/>
    <w:lvl w:ilvl="0">
      <w:lvlJc w:val="left"/>
      <w:lvlText w:val="•"/>
      <w:numFmt w:val="bullet"/>
      <w:start w:val="1"/>
    </w:lvl>
  </w:abstractNum>
  <w:abstractNum w:abstractNumId="85">
    <w:nsid w:val="7DE67713"/>
    <w:multiLevelType w:val="hybridMultilevel"/>
    <w:lvl w:ilvl="0">
      <w:lvlJc w:val="left"/>
      <w:lvlText w:val="•"/>
      <w:numFmt w:val="bullet"/>
      <w:start w:val="1"/>
    </w:lvl>
  </w:abstractNum>
  <w:abstractNum w:abstractNumId="86">
    <w:nsid w:val="555C55B5"/>
    <w:multiLevelType w:val="hybridMultilevel"/>
    <w:lvl w:ilvl="0">
      <w:lvlJc w:val="left"/>
      <w:lvlText w:val="•"/>
      <w:numFmt w:val="bullet"/>
      <w:start w:val="1"/>
    </w:lvl>
  </w:abstractNum>
  <w:abstractNum w:abstractNumId="87">
    <w:nsid w:val="3FA62ACA"/>
    <w:multiLevelType w:val="hybridMultilevel"/>
    <w:lvl w:ilvl="0">
      <w:lvlJc w:val="left"/>
      <w:lvlText w:val="•"/>
      <w:numFmt w:val="bullet"/>
      <w:start w:val="1"/>
    </w:lvl>
  </w:abstractNum>
  <w:abstractNum w:abstractNumId="88">
    <w:nsid w:val="14FCE74E"/>
    <w:multiLevelType w:val="hybridMultilevel"/>
    <w:lvl w:ilvl="0">
      <w:lvlJc w:val="left"/>
      <w:lvlText w:val="(%1)"/>
      <w:numFmt w:val="decimal"/>
      <w:start w:val="1"/>
    </w:lvl>
  </w:abstractNum>
  <w:abstractNum w:abstractNumId="89">
    <w:nsid w:val="6A3DD3E8"/>
    <w:multiLevelType w:val="hybridMultilevel"/>
    <w:lvl w:ilvl="0">
      <w:lvlJc w:val="left"/>
      <w:lvlText w:val="(%1)"/>
      <w:numFmt w:val="decimal"/>
      <w:start w:val="1"/>
    </w:lvl>
  </w:abstractNum>
  <w:abstractNum w:abstractNumId="90">
    <w:nsid w:val="71C91298"/>
    <w:multiLevelType w:val="hybridMultilevel"/>
    <w:lvl w:ilvl="0">
      <w:lvlJc w:val="left"/>
      <w:lvlText w:val="(%1)"/>
      <w:numFmt w:val="decimal"/>
      <w:start w:val="1"/>
    </w:lvl>
  </w:abstractNum>
  <w:abstractNum w:abstractNumId="91">
    <w:nsid w:val="9DAF632"/>
    <w:multiLevelType w:val="hybridMultilevel"/>
    <w:lvl w:ilvl="0">
      <w:lvlJc w:val="left"/>
      <w:lvlText w:val="(%1)"/>
      <w:numFmt w:val="decimal"/>
      <w:start w:val="1"/>
    </w:lvl>
  </w:abstractNum>
  <w:abstractNum w:abstractNumId="92">
    <w:nsid w:val="53299938"/>
    <w:multiLevelType w:val="hybridMultilevel"/>
    <w:lvl w:ilvl="0">
      <w:lvlJc w:val="left"/>
      <w:lvlText w:val="(%1)"/>
      <w:numFmt w:val="decimal"/>
      <w:start w:val="1"/>
    </w:lvl>
  </w:abstractNum>
  <w:abstractNum w:abstractNumId="93">
    <w:nsid w:val="1FBFE8E0"/>
    <w:multiLevelType w:val="hybridMultilevel"/>
    <w:lvl w:ilvl="0">
      <w:lvlJc w:val="left"/>
      <w:lvlText w:val="•"/>
      <w:numFmt w:val="bullet"/>
      <w:start w:val="1"/>
    </w:lvl>
  </w:abstractNum>
  <w:abstractNum w:abstractNumId="94">
    <w:nsid w:val="5092CA79"/>
    <w:multiLevelType w:val="hybridMultilevel"/>
    <w:lvl w:ilvl="0">
      <w:lvlJc w:val="left"/>
      <w:lvlText w:val="*"/>
      <w:numFmt w:val="bullet"/>
      <w:start w:val="1"/>
    </w:lvl>
  </w:abstractNum>
  <w:abstractNum w:abstractNumId="95">
    <w:nsid w:val="1D545C4D"/>
    <w:multiLevelType w:val="hybridMultilevel"/>
    <w:lvl w:ilvl="0">
      <w:lvlJc w:val="left"/>
      <w:lvlText w:val="(%1)"/>
      <w:numFmt w:val="decimal"/>
      <w:start w:val="1"/>
    </w:lvl>
    <w:lvl w:ilvl="1">
      <w:lvlJc w:val="left"/>
      <w:lvlText w:val="(%2)"/>
      <w:numFmt w:val="lowerRoman"/>
      <w:start w:val="2"/>
    </w:lvl>
  </w:abstractNum>
  <w:abstractNum w:abstractNumId="96">
    <w:nsid w:val="59ADEA3D"/>
    <w:multiLevelType w:val="hybridMultilevel"/>
    <w:lvl w:ilvl="0">
      <w:lvlJc w:val="left"/>
      <w:lvlText w:val="%1"/>
      <w:numFmt w:val="decimal"/>
      <w:start w:val="1"/>
    </w:lvl>
    <w:lvl w:ilvl="1">
      <w:lvlJc w:val="left"/>
      <w:lvlText w:val="(%2)"/>
      <w:numFmt w:val="lowerRoman"/>
      <w:start w:val="11"/>
    </w:lvl>
  </w:abstractNum>
  <w:abstractNum w:abstractNumId="97">
    <w:nsid w:val="288F1A34"/>
    <w:multiLevelType w:val="hybridMultilevel"/>
    <w:lvl w:ilvl="0">
      <w:lvlJc w:val="left"/>
      <w:lvlText w:val="(%1)"/>
      <w:numFmt w:val="decimal"/>
      <w:start w:val="2"/>
    </w:lvl>
    <w:lvl w:ilvl="1">
      <w:lvlJc w:val="left"/>
      <w:lvlText w:val="%2"/>
      <w:numFmt w:val="lowerRoman"/>
      <w:start w:val="1"/>
    </w:lvl>
  </w:abstractNum>
  <w:abstractNum w:abstractNumId="98">
    <w:nsid w:val="2A155DBC"/>
    <w:multiLevelType w:val="hybridMultilevel"/>
    <w:lvl w:ilvl="0">
      <w:lvlJc w:val="left"/>
      <w:lvlText w:val="(%1)"/>
      <w:numFmt w:val="decimal"/>
      <w:start w:val="3"/>
    </w:lvl>
  </w:abstractNum>
  <w:abstractNum w:abstractNumId="99">
    <w:nsid w:val="1D9F6E5F"/>
    <w:multiLevelType w:val="hybridMultilevel"/>
    <w:lvl w:ilvl="0">
      <w:lvlJc w:val="left"/>
      <w:lvlText w:val="(%1)"/>
      <w:numFmt w:val="decimal"/>
      <w:start w:val="5"/>
    </w:lvl>
  </w:abstractNum>
  <w:abstractNum w:abstractNumId="100">
    <w:nsid w:val="97E1B4E"/>
    <w:multiLevelType w:val="hybridMultilevel"/>
    <w:lvl w:ilvl="0">
      <w:lvlJc w:val="left"/>
      <w:lvlText w:val="•"/>
      <w:numFmt w:val="bullet"/>
      <w:start w:val="1"/>
    </w:lvl>
  </w:abstractNum>
  <w:abstractNum w:abstractNumId="101">
    <w:nsid w:val="51088277"/>
    <w:multiLevelType w:val="hybridMultilevel"/>
    <w:lvl w:ilvl="0">
      <w:lvlJc w:val="left"/>
      <w:lvlText w:val="•"/>
      <w:numFmt w:val="bullet"/>
      <w:start w:val="1"/>
    </w:lvl>
  </w:abstractNum>
  <w:abstractNum w:abstractNumId="102">
    <w:nsid w:val="1CA0C5FA"/>
    <w:multiLevelType w:val="hybridMultilevel"/>
    <w:lvl w:ilvl="0">
      <w:lvlJc w:val="left"/>
      <w:lvlText w:val="•"/>
      <w:numFmt w:val="bullet"/>
      <w:start w:val="1"/>
    </w:lvl>
  </w:abstractNum>
  <w:abstractNum w:abstractNumId="103">
    <w:nsid w:val="53584BCB"/>
    <w:multiLevelType w:val="hybridMultilevel"/>
    <w:lvl w:ilvl="0">
      <w:lvlJc w:val="left"/>
      <w:lvlText w:val="•"/>
      <w:numFmt w:val="bullet"/>
      <w:start w:val="1"/>
    </w:lvl>
  </w:abstractNum>
  <w:abstractNum w:abstractNumId="104">
    <w:nsid w:val="415E286C"/>
    <w:multiLevelType w:val="hybridMultilevel"/>
    <w:lvl w:ilvl="0">
      <w:lvlJc w:val="left"/>
      <w:lvlText w:val="•"/>
      <w:numFmt w:val="bullet"/>
      <w:start w:val="1"/>
    </w:lvl>
  </w:abstractNum>
  <w:abstractNum w:abstractNumId="105">
    <w:nsid w:val="7C58FD05"/>
    <w:multiLevelType w:val="hybridMultilevel"/>
    <w:lvl w:ilvl="0">
      <w:lvlJc w:val="left"/>
      <w:lvlText w:val="•"/>
      <w:numFmt w:val="bullet"/>
      <w:start w:val="1"/>
    </w:lvl>
  </w:abstractNum>
  <w:abstractNum w:abstractNumId="106">
    <w:nsid w:val="23D86AAC"/>
    <w:multiLevelType w:val="hybridMultilevel"/>
    <w:lvl w:ilvl="0">
      <w:lvlJc w:val="left"/>
      <w:lvlText w:val="%1."/>
      <w:numFmt w:val="upperLetter"/>
      <w:start w:val="1"/>
    </w:lvl>
  </w:abstractNum>
  <w:abstractNum w:abstractNumId="107">
    <w:nsid w:val="45E6D486"/>
    <w:multiLevelType w:val="hybridMultilevel"/>
    <w:lvl w:ilvl="0">
      <w:lvlJc w:val="left"/>
      <w:lvlText w:val="(%1)"/>
      <w:numFmt w:val="lowerLetter"/>
      <w:start w:val="2"/>
    </w:lvl>
  </w:abstractNum>
  <w:abstractNum w:abstractNumId="108">
    <w:nsid w:val="5C10FE21"/>
    <w:multiLevelType w:val="hybridMultilevel"/>
    <w:lvl w:ilvl="0">
      <w:lvlJc w:val="left"/>
      <w:lvlText w:val="•"/>
      <w:numFmt w:val="bullet"/>
      <w:start w:val="1"/>
    </w:lvl>
  </w:abstractNum>
  <w:abstractNum w:abstractNumId="109">
    <w:nsid w:val="E7FFA2B"/>
    <w:multiLevelType w:val="hybridMultilevel"/>
    <w:lvl w:ilvl="0">
      <w:lvlJc w:val="left"/>
      <w:lvlText w:val="•"/>
      <w:numFmt w:val="bullet"/>
      <w:start w:val="1"/>
    </w:lvl>
  </w:abstractNum>
  <w:abstractNum w:abstractNumId="110">
    <w:nsid w:val="3C5991AA"/>
    <w:multiLevelType w:val="hybridMultilevel"/>
    <w:lvl w:ilvl="0">
      <w:lvlJc w:val="left"/>
      <w:lvlText w:val="•"/>
      <w:numFmt w:val="bullet"/>
      <w:start w:val="1"/>
    </w:lvl>
  </w:abstractNum>
  <w:abstractNum w:abstractNumId="111">
    <w:nsid w:val="4BD8591A"/>
    <w:multiLevelType w:val="hybridMultilevel"/>
    <w:lvl w:ilvl="0">
      <w:lvlJc w:val="left"/>
      <w:lvlText w:val="%1."/>
      <w:numFmt w:val="decimal"/>
      <w:start w:val="2"/>
    </w:lvl>
  </w:abstractNum>
  <w:abstractNum w:abstractNumId="112">
    <w:nsid w:val="78DF6A55"/>
    <w:multiLevelType w:val="hybridMultilevel"/>
    <w:lvl w:ilvl="0">
      <w:lvlJc w:val="left"/>
      <w:lvlText w:val="%1)"/>
      <w:numFmt w:val="decimal"/>
      <w:start w:val="1"/>
    </w:lvl>
  </w:abstractNum>
  <w:abstractNum w:abstractNumId="113">
    <w:nsid w:val="39B7AAA2"/>
    <w:multiLevelType w:val="hybridMultilevel"/>
    <w:lvl w:ilvl="0">
      <w:lvlJc w:val="left"/>
      <w:lvlText w:val="•"/>
      <w:numFmt w:val="bullet"/>
      <w:start w:val="1"/>
    </w:lvl>
  </w:abstractNum>
  <w:abstractNum w:abstractNumId="114">
    <w:nsid w:val="2B0D8DBE"/>
    <w:multiLevelType w:val="hybridMultilevel"/>
    <w:lvl w:ilvl="0">
      <w:lvlJc w:val="left"/>
      <w:lvlText w:val="•"/>
      <w:numFmt w:val="bullet"/>
      <w:start w:val="1"/>
    </w:lvl>
  </w:abstractNum>
  <w:abstractNum w:abstractNumId="115">
    <w:nsid w:val="6C80EC70"/>
    <w:multiLevelType w:val="hybridMultilevel"/>
    <w:lvl w:ilvl="0">
      <w:lvlJc w:val="left"/>
      <w:lvlText w:val="%1."/>
      <w:numFmt w:val="decimal"/>
      <w:start w:val="2"/>
    </w:lvl>
    <w:lvl w:ilvl="1">
      <w:lvlJc w:val="left"/>
      <w:lvlText w:val="•"/>
      <w:numFmt w:val="bullet"/>
      <w:start w:val="1"/>
    </w:lvl>
  </w:abstractNum>
  <w:abstractNum w:abstractNumId="116">
    <w:nsid w:val="379E21B5"/>
    <w:multiLevelType w:val="hybridMultilevel"/>
    <w:lvl w:ilvl="0">
      <w:lvlJc w:val="left"/>
      <w:lvlText w:val="%1)"/>
      <w:numFmt w:val="decimal"/>
      <w:start w:val="1"/>
    </w:lvl>
  </w:abstractNum>
  <w:abstractNum w:abstractNumId="117">
    <w:nsid w:val="69E373"/>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2019-12-04T22:56:19Z</dcterms:created>
  <dcterms:modified xsi:type="dcterms:W3CDTF">2019-12-04T22:56:19Z</dcterms:modified>
</cp:coreProperties>
</file>