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10156-1_s3.htm"/>
        <w:bookmarkStart w:id="1" w:name="kstm24101561_s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4">
                <wp:simplePos x="0" y="0"/>
                <wp:positionH relativeFrom="page">
                  <wp:posOffset>617855</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or jurisdiction where such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or jurisdiction where such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April 3, 2024.</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2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5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4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8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z w:val="32"/>
        </w:rPr>
        <w:t xml:space="preserve"> </w:t>
      </w:r>
    </w:p>
    <w:p>
      <w:pPr>
        <w:pStyle w:val="TextBody"/>
        <w:bidi w:val="0"/>
        <w:spacing w:lineRule="atLeast" w:line="200" w:before="557" w:after="437"/>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340" w:before="12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S-3</w:t>
      </w:r>
      <w:r>
        <w:rPr>
          <w:rFonts w:ascii="Times New Roman;Times;serif" w:hAnsi="Times New Roman;Times;serif"/>
          <w:b/>
          <w:i w:val="false"/>
          <w:caps w:val="false"/>
          <w:smallCaps w:val="false"/>
          <w:color w:val="000000"/>
          <w:sz w:val="32"/>
        </w:rPr>
        <w:t xml:space="preserve"> </w:t>
      </w:r>
    </w:p>
    <w:p>
      <w:pPr>
        <w:pStyle w:val="TextBody"/>
        <w:bidi w:val="0"/>
        <w:spacing w:lineRule="atLeast" w:line="200" w:before="10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STATEMENT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UNDER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340" w:before="12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APREA THERAPEUTICS,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80" w:before="557" w:after="437"/>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tbl>
      <w:tblPr>
        <w:tblW w:w="5934" w:type="dxa"/>
        <w:jc w:val="left"/>
        <w:tblInd w:w="540" w:type="dxa"/>
        <w:tblLayout w:type="fixed"/>
        <w:tblCellMar>
          <w:top w:w="0" w:type="dxa"/>
          <w:left w:w="0" w:type="dxa"/>
          <w:bottom w:w="0" w:type="dxa"/>
          <w:right w:w="0" w:type="dxa"/>
        </w:tblCellMar>
      </w:tblPr>
      <w:tblGrid>
        <w:gridCol w:w="124"/>
        <w:gridCol w:w="3058"/>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80" w:before="36"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84-2246769</w:t>
            </w:r>
            <w:r>
              <w:rPr>
                <w:b/>
                <w:sz w:val="18"/>
              </w:rPr>
              <w:t xml:space="preserve"> </w:t>
            </w:r>
          </w:p>
          <w:p>
            <w:pPr>
              <w:pStyle w:val="TableContents"/>
              <w:bidi w:val="0"/>
              <w:spacing w:lineRule="atLeast" w:line="180" w:before="36"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14"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3805 Old Easton Road</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Doylestown, PA 18902</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(617) 463-9385</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(Address, Including Zip Code, and Telephone Number, Including Area Code, of Registrant’s Principal Executive Offices) </w:t>
      </w:r>
    </w:p>
    <w:p>
      <w:pPr>
        <w:pStyle w:val="TextBody"/>
        <w:bidi w:val="0"/>
        <w:spacing w:lineRule="atLeast" w:line="200" w:before="10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Oren Gilad, Ph.D.</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President and Chief Executive Officer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Aprea Therapeutics, Inc.</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3805 Old Easton Road</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Doylestown, PA 18902</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(617) 463-9385</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Address, Including Zip Code, and Telephone Number, Including Area Code, of Agent for Service) </w:t>
      </w:r>
    </w:p>
    <w:p>
      <w:pPr>
        <w:pStyle w:val="TextBody"/>
        <w:bidi w:val="0"/>
        <w:spacing w:lineRule="atLeast" w:line="200" w:before="10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Copies to:</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Fahd M.T. Riaz, Esq.</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Patrick O’Malley, Esq.</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DLA Piper LLP (US)</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1650 Market Street, Suite 5000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Philadelphia, PA 19103-7300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(212) 839-5599</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8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Approximate date of commencement of proposed sale to the public: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From time to time after this registration statement becomes effective.</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9665" w:type="dxa"/>
        <w:jc w:val="left"/>
        <w:tblInd w:w="540" w:type="dxa"/>
        <w:tblLayout w:type="fixed"/>
        <w:tblCellMar>
          <w:top w:w="0" w:type="dxa"/>
          <w:left w:w="0" w:type="dxa"/>
          <w:bottom w:w="0" w:type="dxa"/>
          <w:right w:w="0" w:type="dxa"/>
        </w:tblCellMar>
      </w:tblPr>
      <w:tblGrid>
        <w:gridCol w:w="124"/>
        <w:gridCol w:w="2180"/>
        <w:gridCol w:w="109"/>
        <w:gridCol w:w="109"/>
        <w:gridCol w:w="1818"/>
        <w:gridCol w:w="109"/>
        <w:gridCol w:w="109"/>
        <w:gridCol w:w="2254"/>
        <w:gridCol w:w="109"/>
        <w:gridCol w:w="109"/>
        <w:gridCol w:w="2480"/>
        <w:gridCol w:w="155"/>
      </w:tblGrid>
      <w:tr>
        <w:trPr/>
        <w:tc>
          <w:tcPr>
            <w:tcW w:w="124"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0"/>
              <w:jc w:val="left"/>
              <w:rPr>
                <w:spacing w:val="4"/>
              </w:rPr>
            </w:pPr>
            <w:r>
              <w:rPr>
                <w:spacing w:val="4"/>
              </w:rPr>
              <w:t xml:space="preserve">Large accelerated filer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8" w:type="dxa"/>
            <w:tcBorders/>
            <w:vAlign w:val="center"/>
          </w:tcPr>
          <w:p>
            <w:pPr>
              <w:pStyle w:val="TableContents"/>
              <w:bidi w:val="0"/>
              <w:spacing w:before="0" w:after="0"/>
              <w:jc w:val="left"/>
              <w:rPr>
                <w:spacing w:val="4"/>
              </w:rPr>
            </w:pPr>
            <w:r>
              <w:rPr>
                <w:spacing w:val="4"/>
              </w:rPr>
              <w:t xml:space="preserve">Accelerated filer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4" w:type="dxa"/>
            <w:tcBorders/>
            <w:vAlign w:val="center"/>
          </w:tcPr>
          <w:p>
            <w:pPr>
              <w:pStyle w:val="TableContents"/>
              <w:bidi w:val="0"/>
              <w:spacing w:before="0" w:after="0"/>
              <w:jc w:val="left"/>
              <w:rPr>
                <w:spacing w:val="4"/>
              </w:rPr>
            </w:pPr>
            <w:r>
              <w:rPr>
                <w:spacing w:val="4"/>
              </w:rPr>
              <w:t xml:space="preserve">Non-accelerated filer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0"/>
              <w:jc w:val="left"/>
              <w:rPr>
                <w:spacing w:val="4"/>
              </w:rPr>
            </w:pPr>
            <w:r>
              <w:rPr>
                <w:spacing w:val="4"/>
              </w:rPr>
              <w:t xml:space="preserve">Smaller reporting company ☒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0"/>
              <w:jc w:val="left"/>
              <w:rPr/>
            </w:pPr>
            <w:r>
              <w:rPr>
                <w:spacing w:val="4"/>
              </w:rPr>
              <w:t>Emerging growth company ☒</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00" w:before="134"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200" w:before="10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72"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2"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April 3,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305425" cy="11811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5305425"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APREA THERAPEUTICS,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4,389,576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possible resale, from time to time, by the selling stockholders identified in this prospectus of up to (i) 1,687,712 shares of our common stock, par value $0.001 per share (the “Common Stock”), initially issued in a private placement on March 13, 2024 (the “Private Placement”), (ii) 507,076 shares of Common Stock underlying pre-funded warrants issued in the Private Placement, (iii) 1,097,394 shares of Common Stock underlying Tranche A common stock purchase warrants issued in the Private Placement, and (iv) 1,097,394 shares of Common Stock underlying Tranche B common stock purchase warrants issued in the Private Placement.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offer the shares from time to time as each selling stockholder may determine through public or private transactions or through other means described in the section entitled “Plan of Distribution” or a supplement to this prospectus. Each selling stockholder may also sell shares under Rule 144 under the Securities Act of 1933, as amended, if available, rather than under this prospectus.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of these shares does not necessarily mean that any holders will sell any of their shares or exercise their warrants. We are not offering for sale any shares of our Common Stock pursuant to this prospectus. We will not receive any proceeds from the sale of these shares. We will, however, receive cash proceeds equal to the total exercise price of warrants that are exercised for cash.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Capital Market under the symbol “APRE.” On April 2, 2024, the last reported sale price of our common stock was $6.60.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 — Implications of Being an Emerging Growth Company and Smaller Reporting Company.” </w:t>
      </w:r>
    </w:p>
    <w:p>
      <w:pPr>
        <w:pStyle w:val="TextBody"/>
        <w:bidi w:val="0"/>
        <w:spacing w:lineRule="atLeast" w:line="240" w:before="160" w:after="283"/>
        <w:ind w:left="1753" w:right="0" w:firstLine="400"/>
        <w:jc w:val="left"/>
        <w:rPr/>
      </w:pPr>
      <w:r>
        <w:rPr>
          <w:rFonts w:ascii="Times New Roman;Times;serif" w:hAnsi="Times New Roman;Times;serif"/>
          <w:b/>
          <w:i w:val="false"/>
          <w:caps w:val="false"/>
          <w:smallCaps w:val="false"/>
          <w:color w:val="000000"/>
          <w:spacing w:val="-4"/>
          <w:sz w:val="20"/>
        </w:rPr>
        <w:t xml:space="preserve">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“Risk Factors” on page </w:t>
      </w:r>
      <w:hyperlink w:anchor="tRIFA">
        <w:r>
          <w:rPr>
            <w:rStyle w:val="InternetLink"/>
          </w:rPr>
          <w:t>4</w:t>
        </w:r>
      </w:hyperlink>
      <w:r>
        <w:rPr>
          <w:rFonts w:ascii="Times New Roman;Times;serif" w:hAnsi="Times New Roman;Times;serif"/>
          <w:b/>
          <w:i w:val="false"/>
          <w:caps w:val="false"/>
          <w:smallCaps w:val="false"/>
          <w:color w:val="000000"/>
          <w:spacing w:val="-4"/>
          <w:sz w:val="20"/>
        </w:rPr>
        <w:t xml:space="preserve"> of this prospectus</w:t>
      </w:r>
      <w:r>
        <w:rPr>
          <w:rFonts w:ascii="Times New Roman;Times;serif" w:hAnsi="Times New Roman;Times;serif"/>
          <w:b/>
          <w:i/>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8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 2024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7069" w:type="dxa"/>
        <w:jc w:val="left"/>
        <w:tblInd w:w="1393" w:type="dxa"/>
        <w:tblLayout w:type="fixed"/>
        <w:tblCellMar>
          <w:top w:w="0" w:type="dxa"/>
          <w:left w:w="0" w:type="dxa"/>
          <w:bottom w:w="0" w:type="dxa"/>
          <w:right w:w="0" w:type="dxa"/>
        </w:tblCellMar>
      </w:tblPr>
      <w:tblGrid>
        <w:gridCol w:w="124"/>
        <w:gridCol w:w="5836"/>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836" w:type="dxa"/>
            <w:tcBorders/>
            <w:shd w:fill="CCEEFF" w:val="cle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RSU">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36" w:type="dxa"/>
            <w:tcBorders/>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THOF">
              <w:r>
                <w:rPr>
                  <w:rStyle w:val="InternetLink"/>
                  <w:spacing w:val="4"/>
                </w:rPr>
                <w:t>3</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836"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
              <w:r>
                <w:rPr>
                  <w:rStyle w:val="InternetLink"/>
                  <w:spacing w:val="4"/>
                </w:rPr>
                <w:t>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36" w:type="dxa"/>
            <w:tcBorders/>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FOST">
              <w:r>
                <w:rPr>
                  <w:rStyle w:val="InternetLink"/>
                  <w:spacing w:val="4"/>
                </w:rPr>
                <w:t>5</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836"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
              <w:r>
                <w:rPr>
                  <w:rStyle w:val="InternetLink"/>
                  <w:spacing w:val="4"/>
                </w:rPr>
                <w:t>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36" w:type="dxa"/>
            <w:tcBorders/>
            <w:vAlign w:val="center"/>
          </w:tcPr>
          <w:p>
            <w:pPr>
              <w:pStyle w:val="TableContents"/>
              <w:bidi w:val="0"/>
              <w:spacing w:before="0" w:after="0"/>
              <w:jc w:val="left"/>
              <w:rPr/>
            </w:pPr>
            <w:hyperlink w:anchor="tSEST">
              <w:r>
                <w:rPr>
                  <w:rStyle w:val="InternetLink"/>
                  <w:spacing w:val="4"/>
                </w:rPr>
                <w:t xml:space="preserve">SELLING STOCKHOLDERS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SEST">
              <w:r>
                <w:rPr>
                  <w:rStyle w:val="InternetLink"/>
                  <w:spacing w:val="4"/>
                </w:rPr>
                <w:t>8</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836"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
              <w:r>
                <w:rPr>
                  <w:rStyle w:val="InternetLink"/>
                  <w:spacing w:val="4"/>
                </w:rPr>
                <w:t>15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36" w:type="dxa"/>
            <w:tcBorders/>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CS">
              <w:r>
                <w:rPr>
                  <w:rStyle w:val="InternetLink"/>
                  <w:spacing w:val="4"/>
                </w:rPr>
                <w:t>17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836"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LEMA">
              <w:r>
                <w:rPr>
                  <w:rStyle w:val="InternetLink"/>
                  <w:spacing w:val="4"/>
                </w:rPr>
                <w:t>20</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36"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XP">
              <w:r>
                <w:rPr>
                  <w:rStyle w:val="InternetLink"/>
                  <w:spacing w:val="4"/>
                </w:rPr>
                <w:t>21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83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WYCF">
              <w:r>
                <w:rPr>
                  <w:rStyle w:val="InternetLink"/>
                  <w:spacing w:val="4"/>
                </w:rPr>
                <w:t>22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36" w:type="dxa"/>
            <w:tcBorders/>
            <w:vAlign w:val="center"/>
          </w:tcPr>
          <w:p>
            <w:pPr>
              <w:pStyle w:val="TableContents"/>
              <w:bidi w:val="0"/>
              <w:spacing w:before="0" w:after="0"/>
              <w:jc w:val="left"/>
              <w:rPr/>
            </w:pPr>
            <w:hyperlink w:anchor="tIIBR">
              <w:r>
                <w:rPr>
                  <w:rStyle w:val="InternetLink"/>
                  <w:spacing w:val="4"/>
                </w:rPr>
                <w:t xml:space="preserve">INFORMATION INCORPORATED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IIBR">
              <w:r>
                <w:rPr>
                  <w:rStyle w:val="InternetLink"/>
                  <w:spacing w:val="4"/>
                </w:rPr>
                <w:t>23</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 this prospectus. We have not authorized anyone to provide you with different or additional information.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You should assume that the information appearing in this prospectus is accurate only as of the date of this prospectus, regardless of the time of delivery of this prospectus or of any sale of common stock. Our business, financial condition, results of operations and prospects may have changed materially since such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terms “Aprea,” the “Company,” “our,” “us” and “we,” as used in this prospectus, refer to Aprea Therapeutics, Inc., unless we state otherwise or the context indicates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RSU"/>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highlights information contained elsewhere in this prospectus. It may not contain all of the information that is important to you. You should read the entire prospectus carefully, especially the discussion regarding the risks of investing in our securities under the heading “Risk Factors,” before investing in our securities. All references to “Company” “we,” “our” or “us” refer solely to Aprea Therapeutics, Inc. and its subsidiaries and not to the persons who manage us or sit on our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biopharmaceutical company focused on precision oncology through synthetic lethality. Our approach is built upon a platform of integrated discovery technologies to enrich our pipeline with novel targets in synthetic lethality and cancer treatment. Together with our expertise in small molecule drug discovery, we are applying the capabilities of our discovery platform to the development of new precision oncology therapies and the identification of patient populations most likely to benefit.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Aprea Therapeutics AB was originally incorporated in 2002 and commenced principal operations in 2006. On September 20, 2019, we consummated a reorganization, pursuant to which all of the issued and outstanding stock and options of Aprea Therapeutics AB were exchanged for common stock, preferred stock or options, as applicable, of Aprea Therapeutics, Inc. As a result, Aprea Therapeutics AB became a wholly-owned subsidiary of Aprea Therapeutics, Inc.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16, 2022, we acquired Atrin Pharmaceuticals Inc. (“Atrin”), in accordance with the terms of the Agreement and Plan of Merger dated May 16, 2022 (the “Merger Agreement”), by and among us, ATR Merger Sub I Inc., a Delaware corporation and our wholly owned subsidiary (“First Merger Sub”), ATR Merger Sub II LLC, a Delaware limited liability company and wholly owned subsidiary of Aprea (“Second Merger Sub”) and Atrin. Pursuant to the Merger Agreement, First Merger Sub merged with and into Atrin, pursuant to which Atrin was the surviving corporation and became a wholly owned subsidiary of Aprea (the “First Merger”). Immediately following the First Merger, Atrin merged with and into the second Merger Sub, pursuant to which Second Merger Sub was the surviving entity. The former Atrin business is now our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that synthetic lethality has the potential to impact patients’ lives and treatment strategies for a wide range of cancer types. We aspire to become a leader in this emerging field and are establishing a pipeline of clinical and preclinical programs that we believe may have broad application to cancer treatment.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most advanced synthetic lethality product candidate is ATRN-119, a clinical-stage small molecule inhibitor of ataxia telangiectasia and Rad3-related, or ATR, a kinase that plays a critical role in DDR. ATR is one of several key regulators of the response to defective DNA replication and DNA damage, which occurs more commonly in cancer cells than in normal cells. We are enrolling patients into a Phase 1/2a clinical trial to evaluate ATRN-119 under an investigational new drug application, or IND. The first four dose cohorts have been completed, and patients with advanced solid tumors having mutations in defined DDR-related genes continue to be enrolled into additional cohorts of the Phase 1 dose escalation part of the trial. The primary endpoint of this Phase 1 part is to evaluate the tolerability and pharmacokinetics of ATRN-119 when administered orally on a continuous, once-daily schedule. We anticipate ATRN-119 Phase 1 readout to be available in the first quarter of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several additional, wholly owned synthetic lethality programs. We are targeting WEE1, a kinase that is a key regulator of multiple phases of the cell cycle. Our lead WEE1 inhibitor product candidate is APR-1051. In March 2024, the FDA cleared our IND application for APR-1051. In addition, we also have an early preclinical research program, which is currently in the lead optimization stage, for an undisclosed DDR target.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to development of these drugs as single agents, we are evaluating potential expansion opportunities for our product candidates through combination with other agents such as poly (ADP-ribose) polymerase inhibitors, or PARPi, where we believe a combination of therapeutic agents may enhance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synthetic lethality. We are also evaluating combination opportunities within our pipeline, including research on the combination of ATRN-119 and APR-1051 that is supported by a Phase II SBIR grant from the National Cancer Institute.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the acquisition of Atrin, we were engaged in the clinical development of cancer therapeutics that reactivate the mutant p53 tumor suppressor protein. Our lead product candidate was APR-246, or eprenetapopt. Following our failed pivotal Phase 3 trial in December 2020, we engaged in a thorough evaluation of strategic options leading to the acquisition of Atrin and shifting our focus to the Atrin assets. We do not currently have any ongoing preclinical studies or clinical trials involving our reactivators of mutant p53 and our primary focus is on the discovery and development of molecules targeting DDR pathways in oncology through synthetic lethality.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assembled a team with extensive experience in the discovery, development and commercialization of oncology drugs to support our mission of developing novel synthetic lethality-based cancer therapeutics.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an Emerging Growth Company and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December 31, 2024 or until we are no longer an “emerging growth company,” whichever is earlier. We will cease to be an emerging growth company prior to the end of such period if certain earlier events occur, including if we become a “large accelerated filer” as defined in Rule 12b-2 under the Securities Exchange Act of 1934, as amended, or Exchange Act, our annual gross revenues exceed $1.235 billion or we issue more than $1.0 billion of non-convertible debt in any three-year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the JOBS Act provides that an emerging growth company can take advantage of an extended transition period for complying with new or revised accounting standards. This provision allows an emerging growth company to delay the adoption of accounting standards that have different effective dates for public and private companies until those standards would otherwise apply to private companies. We have not elected to avail ourselves of this exemption and, therefore, we will be subject to the same new or revised accounting standards as other public companies that are not “emerging growth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3805 Old Easton Road, Doylestown, Pennsylvania 18902, and our telephone number is (617) 463-9385. Our website address is www.aprea.com. The information contained on or accessible through our website is not incorporated by reference into this prospectus, and you should not consider any information contained on, or that can be accessed through, our website as part of this prospectus or in deciding whether to purchase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filings with the SEC are posted on our website at www.aprea.com. Other than the specifically incorporated SEC filings, the information found on or accessible through our website is not part of this or any other report we file with or furnish to the SEC. The public can also obtain copies of these filings by accessing the SEC’s website at http://www.sec.gov.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THOF"/>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registering for resale by the selling stockholders named herein an aggregate of 4,389,576 shares of our Common Stock as described below.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Securities being offered: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4,389,576 shares of our Common Stock, including (i) 1,687,712 shares of Common Stock issued to the selling stockholders in the Private Placement, (ii) 507,076 shares of Common Stock underlying pre-funded warrants issued in the Private Placement, (iii) 1,097,394 shares of Common Stock underlying Tranche A common stock purchase warrants issued to the selling stockholders in the Private Placement, and (iv) 1,097,394 shares of Common Stock underlying Tranche B common stock purchase warrants issued to the selling stockholders in the Private Placement.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5233" w:right="0" w:hanging="0"/>
        <w:jc w:val="left"/>
        <w:rPr/>
      </w:pPr>
      <w:r>
        <w:rPr>
          <w:rFonts w:ascii="Times New Roman;Times;serif" w:hAnsi="Times New Roman;Times;serif"/>
          <w:b w:val="false"/>
          <w:i w:val="false"/>
          <w:caps w:val="false"/>
          <w:smallCaps w:val="false"/>
          <w:color w:val="000000"/>
          <w:spacing w:val="4"/>
          <w:sz w:val="20"/>
          <w:bdr w:val="single" w:sz="8" w:space="1" w:color="000000"/>
        </w:rPr>
        <w:t>We will not receive any of the proceeds from the sale or other disposition of shares of our Common Stock by the selling stockholders. We may receive proceeds upon any exercise for cash of outstanding warrants, in which case such proceeds will be used for clinical trials, for working capital and other general corporate purposes. See “Use of Proceeds” on page </w:t>
      </w:r>
      <w:hyperlink w:anchor="tUOP">
        <w:r>
          <w:rPr>
            <w:rStyle w:val="InternetLink"/>
          </w:rPr>
          <w:t>7</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Market for common stock: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Common Stock is listed on The Nasdaq Capital Market under the symbol “APRE.” On April 2, 2024, the last reported sale price of our Common Stock on The Nasdaq Capital Market was $6.60. The warrants issued in the Private Placement are not listed on Nasdaq, any national securities exchange or any other nationally recognized trading system.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523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securities involves a high degree of risk. See “Risk Factors” beginning on page </w:t>
      </w:r>
      <w:hyperlink w:anchor="tRIFA">
        <w:r>
          <w:rPr>
            <w:rStyle w:val="InternetLink"/>
          </w:rPr>
          <w:t>4</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and under similar headings in the other documents that are incorporated by reference into this prospectus, for a discussion of information that should be considered in connection with an investment in our securities.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Investing in our securities involves risk. You should carefully consider the specific risks discussed or incorporated by reference into the applicable prospectus supplement, together with all the other information contained in the prospectus or incorporated by reference into this prospectus and the applicable prospectus supplement. You should also consider the risks, uncertainties and assumptions discussed under the caption “Risk Factors” included in our </w:t>
      </w:r>
      <w:hyperlink r:id="rId3">
        <w:r>
          <w:rPr>
            <w:rStyle w:val="InternetLink"/>
          </w:rPr>
          <w:t>Annual Report on Form 10-K for the year ended December 31, 2023</w:t>
        </w:r>
      </w:hyperlink>
      <w:r>
        <w:rPr>
          <w:rFonts w:ascii="Times New Roman;Times;serif" w:hAnsi="Times New Roman;Times;serif"/>
          <w:b w:val="false"/>
          <w:i/>
          <w:caps w:val="false"/>
          <w:smallCaps w:val="false"/>
          <w:color w:val="000000"/>
          <w:spacing w:val="4"/>
          <w:sz w:val="20"/>
        </w:rPr>
        <w:t xml:space="preserve">, and in subsequent filings, which are incorporated by reference into this prospectus.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sale of a substantial number of shares of common stock by the selling stockholders could cause the price of our common stock to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that may be resold by the selling stockholders pursuant to this prospectus and without regard to beneficial ownership limitations contained in the warrants, represent a material portion of the total outstanding shares of our common stock as of April 2, 2024, and, following the effectiveness of the registration statement of which this prospectus forms a part, such securities may be sold by the selling stockholders in the public market without restriction. If the selling stockholders sell, or the market perceives that the selling stockholders intend to sell for various reasons, substantial amounts of such securities in the public market, the price of our Common Stock may decline. Additionally, such conditions may make it more difficult for us to sell equity or equity-related securities in the future at a time and price that we deem reasonable or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FOS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 are “forward-looking statements” for purposes of this prospectus.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about: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to operate as an integrated company subsequent to our acquisition of Atrin Pharmaceuticals Inc.; </w:t>
      </w:r>
      <w:r>
        <mc:AlternateContent>
          <mc:Choice Requires="wps">
            <w:drawing>
              <wp:anchor behindDoc="0" distT="7366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our expenses, capital requirements and our needs for additional financing; </w:t>
      </w:r>
      <w:r>
        <mc:AlternateContent>
          <mc:Choice Requires="wps">
            <w:drawing>
              <wp:anchor behindDoc="0" distT="7366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interruptions, including delays in enrollment, patient follow-up and data collection of clinical trials, resulting from a public health emergency or pandemic; </w:t>
      </w:r>
      <w:r>
        <mc:AlternateContent>
          <mc:Choice Requires="wps">
            <w:drawing>
              <wp:anchor behindDoc="0" distT="7366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prospects of our product candidates, all of which are still in development; </w:t>
      </w:r>
      <w:r>
        <mc:AlternateContent>
          <mc:Choice Requires="wps">
            <w:drawing>
              <wp:anchor behindDoc="0" distT="7366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outcome and results of ongoing or future preclinical studies and clinical trials of our product candidates;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our ability to identify, discover or acquire additional suitable product candidates;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 of our ongoing and planned clinical trials, including the sample size, trial duration, endpoint definition, event rate assumptions and eligibility criteria;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enroll patients in clinical trials, to timely and successfully complete those trials and to receive necessary regulatory approvals;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timing of initiation of data readout from our clinical trials;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acceptance or commercial success of any product candidate we develop and the degree of acceptance among physicians, patients, patient advocacy groups, healthcare payors and the medical community;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competition, potential market size, the size of the patient populations for our product candidates, if approved for commercial use, and market acceptance;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regulatory approval of our product candidates, and any restrictions, limitations and/or warnings in their labels, if approved;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scope of protection we are able to establish and maintain for intellectual property rights covering our product candidates;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claims relating to our intellectual property and third-party intellectual property;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duration of our intellectual property estate that will provide protection for our product candidates;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relating to our competitors and our industry;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sales, marketing or distribution capabilities and our ability to commercialize our product candidates, if we obtain regulatory approval;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and future agreements with third parties in connection with conducting clinical trials, as well as the manufacturing of our product candidates;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ability of our current contract manufacturing partners to produce our product candidates in the quantities and timeframe that we will require;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our future costs of goods;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retain and motivate key personnel and increase the size of our organization;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collaborations in lieu of obtaining additional financing; </w:t>
      </w:r>
      <w:r>
        <mc:AlternateContent>
          <mc:Choice Requires="wps">
            <w:drawing>
              <wp:anchor behindDoc="0" distT="0" distB="0" distL="254000" distR="0" simplePos="0" locked="0" layoutInCell="1" allowOverlap="1" relativeHeight="26">
                <wp:simplePos x="0" y="0"/>
                <wp:positionH relativeFrom="column">
                  <wp:align>left</wp:align>
                </wp:positionH>
                <wp:positionV relativeFrom="line">
                  <wp:posOffset>635</wp:posOffset>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government laws and regulations;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performance; and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time during which we will be an emerging growth company under the JOBS Act or a smaller reporting company under the Exchange Act.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“Risk Factors” contained in this prospectus and any related free writing prospectus, and in any other documents incorporated herein or therein.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by reference, may also contain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receive no proceeds from the sale of shares of Common Stock by the selling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portion of the shares of Common Stock covered by this prospectus are issuable upon exercise of warrants issued to the selling stockholders. The exercise price of the outstanding warrants is $7.29 per share with respect to the Tranche A common stock purchase warrants, $9.1125 with respect to the Tranche B common stock purchase warrants and $0.001 with respect to the pre-funded warrants. The exercise price and number of shares of Common Stock issuable upon exercise of the warrants may be adjusted in certain circumstances, including stock splits or dividends, mergers, or reclassifications or similar events. Upon any exercise of outstanding warrants, the applicable selling stockholders will pay us the exercise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we receive proceeds from the cash exercise of outstanding warrants, we intend to use the proceeds to support our operations, including for clinical trials, for working capital and for other general corporate purposes. We have not yet determined the amount of net proceeds to be used specifically for any of the foregoing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and timing of our actual expenditures will depend on numerous factors, including the progress of our clinical trials, as well as the amount of cash used in our operations. We may find it necessary or advisable to use the net proceeds for other purposes, and we will have broad discretion in the application of any net proceeds from warrant exercises.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upon our historical and anticipated future growth and our financial needs, we may engage in additional financings of a character and amount that we determine as the need arises. We may raise additional capital through additional public or private financings, strategic partnerships, the incurrence of debt and other available sources.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EST"/>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11, 2024, we entered into a securities purchase agreement with certain institutional investors, pursuant to which we issued and sold to the investors (i) 1,687,712 shares of Common Stock, (ii) pre-funded Common Stock purchase warrants to purchase an aggregate of up to 507,076 shares of Common Stock at an exercise price of $0.001 per share, (iii) Tranche A Common Stock purchase warrants to purchase up to 1,097,394 shares of Common Stock at an exercise price of $7.29 per share, and (iv) Tranche B Common Stock purchase warrants to purchase up to 1,097,394 shares of Common Stock at an exercise price of $9.1125 per share. The combined cash purchase price for each share of Common Stock, together with the accompanying portion of a Tranche A Warrant and Tranche B Warrant represents the “Minimum Price” in accordance with Nasdaq Listing Rule 5635(d). The closing of the Private Placement occurred on March 13, 2024 (the “Closing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Tranche A Warrants will be exercisable until the earlier of (i) the three year anniversary of issuance and (ii) 30 days after we announce the recommended Phase 2 dose for ATRN-119, and, following such announcement, the daily volume weighted average price of the Company’s common stock equals or exceeds $14.58 for 30 consecutive trading days. The Tranche B Warrants will be exercisable until the earlier of (i) the five year anniversary of issuance and (ii) 30 days after we announce the recommended Phase 2 dose for APR-1051 and, following such announcement, the daily volume weighted average price of our Common Stock equals or exceeds $18.225 for 30 consecutive trading days. To the extent that the exercise of a Tranche A Warrant or Tranche B Warrant would result in the holder beneficially owning greater than 4.99% (or, at the election of the holder, greater than 9.99%) of our outstanding common stock immediately following such exercise, the holder will instead receive pre-funded warrants in substantially the same form as the Pre-Funded Warrants issued at closing.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Pre-Funded Warrants will be exercisable from the date of issuance until exercised in full and may not be exercised to the extent that immediately following such exercise, the holder would beneficially own greater than 4.99% (or, at the election of the holder, greater than 9.99%) of out outstanding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Private Placement, we and the investors entered into a Registration Rights Agreement, dated March 11, 2024 (the “Registration Rights Agreement”), which required us to file a registration statement registering the resale of the securities issued in the Private Placement and issuable upon exercise of the warrants issued in the Private Placement on or prior to the 60th day after the Closing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resale of up to (i) 1,687,712 shares of Common Stock, (ii) 507,076 shares of Common Stock underlying pre-funded warrants, (iii) 1,097,394 shares of Common Stock underlying Tranche A warrants, and (iv) 1,097,394 shares of Common Stock underlying Tranche B warrants, in each case issued in the Private Placement. We are registering the shares of Common Stock in order to permit the selling stockholders to offer the shares for resale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to our knowledge, information concerning the beneficial ownership of shares of our common stock by the selling stockholders after the closing of the Private Placement as of March 13, 2024. The information in the table below with respect to the selling stockholders has been obtained from the selling stockholders. When we refer to the “selling stockholders” in this prospectus, we mean the selling stockholders listed in the table below as offering shares, as well as their respective transferees, pledgees or donees or other successors-in-interest. The selling stockholders may sell all, some or none of the shares of common stock subject to this prospectus. See “Plan of Distribution.”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warrants, a selling stockholder may not exercise the warrants to the extent such exercise would cause such selling stockholder, together with its affiliates and attribution parties, to beneficially own a number of shares of Common Stock which would exceed 4.99% (or, at the election of such selling stockholder, 9.99%), of our then outstanding Common Stock following such exercise, excluding for purposes of such determination shares of Common Stock issuable upon exercise of such warrants which have not been exercised. The number of shares in the table below do not reflect these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beneficially owned prior to the offering for each selling stockholder includes (i) all shares of common stock held by such selling stockholder as of March 13, 2024, (ii) all shares as to which such selling stockholder has the right to acquire within 60 days of March 13,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(iii) all shares of common stock purchased by such selling stockholder in the Private Placement. The percentages of shares owned before and after the offering are based on 5,430,215 shares of common stock outstanding as of March 13, 2024, which includes the outstanding shares of common stock offered by this prospectus. In computing the number of shares of common stock beneficially owned by a person and the percentage ownership of that person, we deemed outstanding shares of common stock issuable upon the exercise of options and warrants held by that selling stockholder that are exercisable within 60 days of March 13, 2024. We did not deem these shares outstanding, however, for the purpose of computing the percentage ownership of any other person.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of the SEC and includes voting or investment power with respect to shares. Unless otherwise indicated below, to our knowledge, each selling stockholder named in the table has sole voting and investment power with respect to the shares of common stock beneficially owned by it, except to the extent authority is shared by spouses under applicable law. The inclusion of any shares in this table does not constitute an admission of beneficial ownership for any selling stockholder named below. </w:t>
      </w:r>
    </w:p>
    <w:tbl>
      <w:tblPr>
        <w:tblW w:w="9110" w:type="dxa"/>
        <w:jc w:val="left"/>
        <w:tblInd w:w="1393" w:type="dxa"/>
        <w:tblLayout w:type="fixed"/>
        <w:tblCellMar>
          <w:top w:w="0" w:type="dxa"/>
          <w:left w:w="0" w:type="dxa"/>
          <w:bottom w:w="43" w:type="dxa"/>
          <w:right w:w="0" w:type="dxa"/>
        </w:tblCellMar>
      </w:tblPr>
      <w:tblGrid>
        <w:gridCol w:w="1639"/>
        <w:gridCol w:w="109"/>
        <w:gridCol w:w="109"/>
        <w:gridCol w:w="109"/>
        <w:gridCol w:w="109"/>
        <w:gridCol w:w="1066"/>
        <w:gridCol w:w="109"/>
        <w:gridCol w:w="109"/>
        <w:gridCol w:w="109"/>
        <w:gridCol w:w="142"/>
        <w:gridCol w:w="142"/>
        <w:gridCol w:w="686"/>
        <w:gridCol w:w="144"/>
        <w:gridCol w:w="109"/>
        <w:gridCol w:w="109"/>
        <w:gridCol w:w="109"/>
        <w:gridCol w:w="109"/>
        <w:gridCol w:w="1066"/>
        <w:gridCol w:w="109"/>
        <w:gridCol w:w="109"/>
        <w:gridCol w:w="109"/>
        <w:gridCol w:w="109"/>
        <w:gridCol w:w="109"/>
        <w:gridCol w:w="886"/>
        <w:gridCol w:w="109"/>
        <w:gridCol w:w="109"/>
        <w:gridCol w:w="109"/>
        <w:gridCol w:w="142"/>
        <w:gridCol w:w="142"/>
        <w:gridCol w:w="686"/>
        <w:gridCol w:w="144"/>
        <w:gridCol w:w="154"/>
      </w:tblGrid>
      <w:tr>
        <w:trPr/>
        <w:tc>
          <w:tcPr>
            <w:tcW w:w="1639"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Name of Selling Stockholder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25" w:type="dxa"/>
            <w:gridSpan w:val="10"/>
            <w:tcBorders>
              <w:bottom w:val="single" w:sz="2" w:space="0" w:color="000000"/>
            </w:tcBorders>
            <w:vAlign w:val="center"/>
          </w:tcPr>
          <w:p>
            <w:pPr>
              <w:pStyle w:val="TableContents"/>
              <w:bidi w:val="0"/>
              <w:spacing w:before="0" w:after="0"/>
              <w:jc w:val="center"/>
              <w:rPr/>
            </w:pPr>
            <w:r>
              <w:rPr>
                <w:spacing w:val="-3"/>
              </w:rPr>
              <w:t>Shares of</w:t>
            </w:r>
            <w:r>
              <w:rPr/>
              <w:t xml:space="preserve"> </w:t>
              <w:br/>
            </w:r>
            <w:r>
              <w:rPr>
                <w:spacing w:val="-3"/>
              </w:rPr>
              <w:t>Common Stock</w:t>
            </w:r>
            <w:r>
              <w:rPr/>
              <w:t xml:space="preserve"> </w:t>
              <w:br/>
            </w:r>
            <w:r>
              <w:rPr>
                <w:spacing w:val="-3"/>
              </w:rPr>
              <w:t>Beneficially</w:t>
            </w:r>
            <w:r>
              <w:rPr/>
              <w:t xml:space="preserve"> </w:t>
              <w:br/>
            </w:r>
            <w:r>
              <w:rPr>
                <w:spacing w:val="-3"/>
              </w:rPr>
              <w:t>Owned Prior</w:t>
            </w:r>
            <w:r>
              <w:rPr/>
              <w:t xml:space="preserve"> </w:t>
              <w:br/>
            </w:r>
            <w:r>
              <w:rPr>
                <w:spacing w:val="-3"/>
              </w:rPr>
              <w:t xml:space="preserve">to Private Placement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Maximum</w:t>
            </w:r>
            <w:r>
              <w:rPr/>
              <w:t xml:space="preserve"> </w:t>
              <w:br/>
            </w:r>
            <w:r>
              <w:rPr>
                <w:spacing w:val="-3"/>
              </w:rPr>
              <w:t>Number of</w:t>
            </w:r>
            <w:r>
              <w:rPr/>
              <w:t xml:space="preserve"> </w:t>
              <w:br/>
            </w:r>
            <w:r>
              <w:rPr>
                <w:spacing w:val="-3"/>
              </w:rPr>
              <w:t>shares of</w:t>
            </w:r>
            <w:r>
              <w:rPr/>
              <w:t xml:space="preserve"> </w:t>
              <w:br/>
            </w:r>
            <w:r>
              <w:rPr>
                <w:spacing w:val="-3"/>
              </w:rPr>
              <w:t>Common</w:t>
            </w:r>
            <w:r>
              <w:rPr/>
              <w:t xml:space="preserve"> </w:t>
              <w:br/>
            </w:r>
            <w:r>
              <w:rPr>
                <w:spacing w:val="-3"/>
              </w:rPr>
              <w:t>Stock to be</w:t>
            </w:r>
            <w:r>
              <w:rPr/>
              <w:t xml:space="preserve"> </w:t>
              <w:br/>
            </w:r>
            <w:r>
              <w:rPr>
                <w:spacing w:val="-3"/>
              </w:rPr>
              <w:t>Sold</w:t>
            </w:r>
            <w:r>
              <w:rPr/>
              <w:t xml:space="preserve"> </w:t>
              <w:br/>
            </w:r>
            <w:r>
              <w:rPr>
                <w:spacing w:val="-3"/>
              </w:rPr>
              <w:t xml:space="preserve">Pursuant </w:t>
            </w:r>
            <w:r>
              <w:rPr/>
              <w:br/>
            </w:r>
            <w:r>
              <w:rPr>
                <w:spacing w:val="-3"/>
              </w:rPr>
              <w:t>to this</w:t>
            </w:r>
            <w:r>
              <w:rPr/>
              <w:t xml:space="preserve"> </w:t>
              <w:br/>
            </w:r>
            <w:r>
              <w:rPr>
                <w:spacing w:val="-3"/>
              </w:rPr>
              <w:t>Prospectus</w:t>
            </w:r>
            <w:r>
              <w:rPr>
                <w:spacing w:val="-2"/>
                <w:sz w:val="10"/>
              </w:rPr>
              <w:t>(1)</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45" w:type="dxa"/>
            <w:gridSpan w:val="10"/>
            <w:tcBorders>
              <w:bottom w:val="single" w:sz="2" w:space="0" w:color="000000"/>
            </w:tcBorders>
            <w:vAlign w:val="center"/>
          </w:tcPr>
          <w:p>
            <w:pPr>
              <w:pStyle w:val="TableContents"/>
              <w:bidi w:val="0"/>
              <w:spacing w:lineRule="atLeast" w:line="142" w:before="0" w:after="0"/>
              <w:jc w:val="center"/>
              <w:rPr/>
            </w:pPr>
            <w:r>
              <w:rPr>
                <w:spacing w:val="-3"/>
              </w:rPr>
              <w:t>Shares of</w:t>
            </w:r>
            <w:r>
              <w:rPr/>
              <w:t xml:space="preserve"> </w:t>
              <w:br/>
            </w:r>
            <w:r>
              <w:rPr>
                <w:spacing w:val="-3"/>
              </w:rPr>
              <w:t>Common Stock</w:t>
            </w:r>
            <w:r>
              <w:rPr/>
              <w:t xml:space="preserve"> </w:t>
              <w:br/>
            </w:r>
            <w:r>
              <w:rPr>
                <w:spacing w:val="-3"/>
              </w:rPr>
              <w:t xml:space="preserve">to be Beneficially </w:t>
            </w:r>
            <w:r>
              <w:rPr/>
              <w:br/>
            </w:r>
            <w:r>
              <w:rPr>
                <w:spacing w:val="-3"/>
              </w:rPr>
              <w:t xml:space="preserve">Owned After </w:t>
            </w:r>
            <w:r>
              <w:rPr/>
              <w:br/>
            </w:r>
            <w:r>
              <w:rPr>
                <w:spacing w:val="-3"/>
              </w:rPr>
              <w:t>Private Offering</w:t>
            </w:r>
            <w:r>
              <w:rPr>
                <w:spacing w:val="-2"/>
                <w:sz w:val="10"/>
              </w:rPr>
              <w:t>(2)</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Percentage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39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Percentage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9" w:type="dxa"/>
            <w:tcBorders/>
            <w:shd w:fill="CCEEFF" w:val="clear"/>
            <w:tcMar>
              <w:bottom w:w="0" w:type="dxa"/>
            </w:tcMar>
            <w:vAlign w:val="center"/>
          </w:tcPr>
          <w:p>
            <w:pPr>
              <w:pStyle w:val="TableContents"/>
              <w:bidi w:val="0"/>
              <w:spacing w:before="0" w:after="0"/>
              <w:jc w:val="left"/>
              <w:rPr/>
            </w:pPr>
            <w:r>
              <w:rPr>
                <w:spacing w:val="4"/>
              </w:rPr>
              <w:t>AIGH Investment Partners, LP</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684,399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11.9%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422,268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262,131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4.80%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9" w:type="dxa"/>
            <w:tcBorders/>
            <w:tcMar>
              <w:bottom w:w="0" w:type="dxa"/>
            </w:tcMar>
            <w:vAlign w:val="center"/>
          </w:tcPr>
          <w:p>
            <w:pPr>
              <w:pStyle w:val="TableContents"/>
              <w:bidi w:val="0"/>
              <w:spacing w:before="0" w:after="0"/>
              <w:ind w:left="200" w:right="0" w:hanging="200"/>
              <w:jc w:val="left"/>
              <w:rPr/>
            </w:pPr>
            <w:r>
              <w:rPr>
                <w:spacing w:val="4"/>
              </w:rPr>
              <w:t>WVP Emerging Manager Onshore Fund, LLC – Optimized Equity Series</w:t>
            </w:r>
            <w:r>
              <w:rPr>
                <w:spacing w:val="3"/>
                <w:szCs w:val="13"/>
              </w:rPr>
              <w:t>﻿</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50,589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31,832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18,757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39" w:type="dxa"/>
            <w:tcBorders/>
            <w:shd w:fill="CCEEFF" w:val="clear"/>
            <w:tcMar>
              <w:bottom w:w="0" w:type="dxa"/>
            </w:tcMar>
            <w:vAlign w:val="center"/>
          </w:tcPr>
          <w:p>
            <w:pPr>
              <w:pStyle w:val="TableContents"/>
              <w:bidi w:val="0"/>
              <w:spacing w:before="0" w:after="0"/>
              <w:ind w:left="200" w:right="0" w:hanging="200"/>
              <w:jc w:val="left"/>
              <w:rPr/>
            </w:pPr>
            <w:r>
              <w:rPr>
                <w:spacing w:val="4"/>
              </w:rPr>
              <w:t>WVP Emerging Manager Onshore Fund, LLC – AIGH Series</w:t>
            </w:r>
            <w:r>
              <w:rPr>
                <w:spacing w:val="3"/>
                <w:szCs w:val="13"/>
              </w:rPr>
              <w:t>﻿</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176,724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3.2%</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108,312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68,412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1.3%</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9" w:type="dxa"/>
            <w:tcBorders/>
            <w:tcMar>
              <w:bottom w:w="0" w:type="dxa"/>
            </w:tcMar>
            <w:vAlign w:val="center"/>
          </w:tcPr>
          <w:p>
            <w:pPr>
              <w:pStyle w:val="TableContents"/>
              <w:bidi w:val="0"/>
              <w:spacing w:before="0" w:after="0"/>
              <w:jc w:val="left"/>
              <w:rPr/>
            </w:pPr>
            <w:r>
              <w:rPr>
                <w:spacing w:val="4"/>
              </w:rPr>
              <w:t>Altium Growth Fund, LP</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435,684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7.7%</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435,684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39" w:type="dxa"/>
            <w:tcBorders/>
            <w:shd w:fill="CCEEFF" w:val="clear"/>
            <w:tcMar>
              <w:bottom w:w="0" w:type="dxa"/>
            </w:tcMar>
            <w:vAlign w:val="center"/>
          </w:tcPr>
          <w:p>
            <w:pPr>
              <w:pStyle w:val="TableContents"/>
              <w:bidi w:val="0"/>
              <w:spacing w:before="0" w:after="0"/>
              <w:jc w:val="left"/>
              <w:rPr/>
            </w:pPr>
            <w:r>
              <w:rPr>
                <w:spacing w:val="4"/>
              </w:rPr>
              <w:t>DAFNA Lifescience LP</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197,532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3.6%</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197,532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9" w:type="dxa"/>
            <w:tcBorders/>
            <w:tcMar>
              <w:bottom w:w="0" w:type="dxa"/>
            </w:tcMar>
            <w:vAlign w:val="center"/>
          </w:tcPr>
          <w:p>
            <w:pPr>
              <w:pStyle w:val="TableContents"/>
              <w:bidi w:val="0"/>
              <w:spacing w:before="0" w:after="0"/>
              <w:jc w:val="left"/>
              <w:rPr/>
            </w:pPr>
            <w:r>
              <w:rPr>
                <w:spacing w:val="4"/>
              </w:rPr>
              <w:t>DAFNA Lifescience Select LP</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76,816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1.4%</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76,816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39" w:type="dxa"/>
            <w:tcBorders/>
            <w:shd w:fill="CCEEFF" w:val="clear"/>
            <w:tcMar>
              <w:bottom w:w="0" w:type="dxa"/>
            </w:tcMar>
            <w:vAlign w:val="center"/>
          </w:tcPr>
          <w:p>
            <w:pPr>
              <w:pStyle w:val="TableContents"/>
              <w:bidi w:val="0"/>
              <w:spacing w:before="0" w:after="0"/>
              <w:jc w:val="left"/>
              <w:rPr/>
            </w:pPr>
            <w:r>
              <w:rPr>
                <w:spacing w:val="4"/>
              </w:rPr>
              <w:t>Dellora Investments LP</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411,520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7.3%</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411,520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9" w:type="dxa"/>
            <w:tcBorders/>
            <w:tcMar>
              <w:bottom w:w="0" w:type="dxa"/>
            </w:tcMar>
            <w:vAlign w:val="center"/>
          </w:tcPr>
          <w:p>
            <w:pPr>
              <w:pStyle w:val="TableContents"/>
              <w:bidi w:val="0"/>
              <w:spacing w:before="0" w:after="0"/>
              <w:jc w:val="left"/>
              <w:rPr/>
            </w:pPr>
            <w:r>
              <w:rPr>
                <w:spacing w:val="4"/>
              </w:rPr>
              <w:t>Worldwide Healthcare Partners LLC</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274,348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4.9%</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274,348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39" w:type="dxa"/>
            <w:tcBorders/>
            <w:shd w:fill="CCEEFF" w:val="clear"/>
            <w:tcMar>
              <w:bottom w:w="0" w:type="dxa"/>
            </w:tcMar>
            <w:vAlign w:val="center"/>
          </w:tcPr>
          <w:p>
            <w:pPr>
              <w:pStyle w:val="TableContents"/>
              <w:bidi w:val="0"/>
              <w:spacing w:before="0" w:after="0"/>
              <w:ind w:left="200" w:right="0" w:hanging="200"/>
              <w:jc w:val="left"/>
              <w:rPr/>
            </w:pPr>
            <w:r>
              <w:rPr>
                <w:spacing w:val="4"/>
              </w:rPr>
              <w:t>Nantahala Capital Partners Limited Partnership</w:t>
            </w:r>
            <w:r>
              <w:rPr>
                <w:spacing w:val="3"/>
                <w:szCs w:val="13"/>
              </w:rPr>
              <w:t>﻿</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85,060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1.6%</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85,060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9" w:type="dxa"/>
            <w:tcBorders/>
            <w:tcMar>
              <w:bottom w:w="0" w:type="dxa"/>
            </w:tcMar>
            <w:vAlign w:val="center"/>
          </w:tcPr>
          <w:p>
            <w:pPr>
              <w:pStyle w:val="TableContents"/>
              <w:bidi w:val="0"/>
              <w:spacing w:before="0" w:after="0"/>
              <w:jc w:val="left"/>
              <w:rPr/>
            </w:pPr>
            <w:r>
              <w:rPr>
                <w:spacing w:val="4"/>
              </w:rPr>
              <w:t>NCP RFM LP</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72,320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1.3%</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72,320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39" w:type="dxa"/>
            <w:tcBorders/>
            <w:shd w:fill="CCEEFF" w:val="clear"/>
            <w:tcMar>
              <w:bottom w:w="0" w:type="dxa"/>
            </w:tcMar>
            <w:vAlign w:val="center"/>
          </w:tcPr>
          <w:p>
            <w:pPr>
              <w:pStyle w:val="TableContents"/>
              <w:bidi w:val="0"/>
              <w:spacing w:before="0" w:after="0"/>
              <w:jc w:val="left"/>
              <w:rPr/>
            </w:pPr>
            <w:r>
              <w:rPr>
                <w:spacing w:val="4"/>
              </w:rPr>
              <w:t>Blackwell Partners LLC – Series A</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254,140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4.6%</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254,140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9" w:type="dxa"/>
            <w:tcBorders/>
            <w:tcMar>
              <w:bottom w:w="0" w:type="dxa"/>
            </w:tcMar>
            <w:vAlign w:val="center"/>
          </w:tcPr>
          <w:p>
            <w:pPr>
              <w:pStyle w:val="TableContents"/>
              <w:bidi w:val="0"/>
              <w:spacing w:before="0" w:after="0"/>
              <w:jc w:val="left"/>
              <w:rPr/>
            </w:pPr>
            <w:r>
              <w:rPr>
                <w:spacing w:val="4"/>
              </w:rPr>
              <w:t>The Red Hook Fund LP</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1.0%</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39" w:type="dxa"/>
            <w:tcBorders/>
            <w:shd w:fill="CCEEFF" w:val="clear"/>
            <w:tcMar>
              <w:bottom w:w="0" w:type="dxa"/>
            </w:tcMar>
            <w:vAlign w:val="center"/>
          </w:tcPr>
          <w:p>
            <w:pPr>
              <w:pStyle w:val="TableContents"/>
              <w:bidi w:val="0"/>
              <w:spacing w:before="0" w:after="0"/>
              <w:jc w:val="left"/>
              <w:rPr/>
            </w:pPr>
            <w:r>
              <w:rPr>
                <w:spacing w:val="4"/>
              </w:rPr>
              <w:t>Lytton-Kambra Foundation</w:t>
            </w:r>
            <w:r>
              <w:rPr>
                <w:spacing w:val="3"/>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274,348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4.9%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274,348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9" w:type="dxa"/>
            <w:tcBorders/>
            <w:tcMar>
              <w:bottom w:w="0" w:type="dxa"/>
            </w:tcMar>
            <w:vAlign w:val="center"/>
          </w:tcPr>
          <w:p>
            <w:pPr>
              <w:pStyle w:val="TableContents"/>
              <w:bidi w:val="0"/>
              <w:spacing w:before="0" w:after="0"/>
              <w:jc w:val="left"/>
              <w:rPr/>
            </w:pPr>
            <w:r>
              <w:rPr>
                <w:spacing w:val="4"/>
              </w:rPr>
              <w:t>Sphera Biotech Master Fund LP</w:t>
            </w:r>
            <w:r>
              <w:rPr>
                <w:spacing w:val="3"/>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1,097,392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17.4%</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1,097,392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39" w:type="dxa"/>
            <w:tcBorders/>
            <w:shd w:fill="CCEEFF" w:val="clear"/>
            <w:tcMar>
              <w:bottom w:w="0" w:type="dxa"/>
            </w:tcMar>
            <w:vAlign w:val="center"/>
          </w:tcPr>
          <w:p>
            <w:pPr>
              <w:pStyle w:val="TableContents"/>
              <w:bidi w:val="0"/>
              <w:spacing w:before="0" w:after="0"/>
              <w:jc w:val="left"/>
              <w:rPr/>
            </w:pPr>
            <w:r>
              <w:rPr>
                <w:spacing w:val="4"/>
              </w:rPr>
              <w:t>Sphera Global Healthcare Master Fund</w:t>
            </w:r>
            <w:r>
              <w:rPr>
                <w:spacing w:val="3"/>
                <w:sz w:val="13"/>
              </w:rPr>
              <w:t>(17)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274,348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4.9%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274,348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9" w:type="dxa"/>
            <w:tcBorders/>
            <w:tcMar>
              <w:bottom w:w="0" w:type="dxa"/>
            </w:tcMar>
            <w:vAlign w:val="center"/>
          </w:tcPr>
          <w:p>
            <w:pPr>
              <w:pStyle w:val="TableContents"/>
              <w:bidi w:val="0"/>
              <w:spacing w:before="0" w:after="0"/>
              <w:jc w:val="left"/>
              <w:rPr/>
            </w:pPr>
            <w:r>
              <w:rPr>
                <w:spacing w:val="4"/>
              </w:rPr>
              <w:t>Stonepine Capital, LP</w:t>
            </w:r>
            <w:r>
              <w:rPr>
                <w:spacing w:val="3"/>
                <w:sz w:val="13"/>
              </w:rPr>
              <w:t>(18)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274,348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4.9%</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274,348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39" w:type="dxa"/>
            <w:tcBorders/>
            <w:shd w:fill="CCEEFF" w:val="clear"/>
            <w:tcMar>
              <w:bottom w:w="0" w:type="dxa"/>
            </w:tcMar>
            <w:vAlign w:val="center"/>
          </w:tcPr>
          <w:p>
            <w:pPr>
              <w:pStyle w:val="TableContents"/>
              <w:bidi w:val="0"/>
              <w:spacing w:before="0" w:after="0"/>
              <w:jc w:val="left"/>
              <w:rPr/>
            </w:pPr>
            <w:r>
              <w:rPr>
                <w:spacing w:val="4"/>
              </w:rPr>
              <w:t>Bernd R. Seizinger, M.D., Ph.D.</w:t>
            </w:r>
            <w:r>
              <w:rPr>
                <w:spacing w:val="3"/>
                <w:sz w:val="13"/>
              </w:rPr>
              <w:t>(19)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42,940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29,220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9" w:type="dxa"/>
            <w:tcBorders/>
            <w:tcMar>
              <w:bottom w:w="0" w:type="dxa"/>
            </w:tcMar>
            <w:vAlign w:val="center"/>
          </w:tcPr>
          <w:p>
            <w:pPr>
              <w:pStyle w:val="TableContents"/>
              <w:bidi w:val="0"/>
              <w:spacing w:before="0" w:after="0"/>
              <w:jc w:val="left"/>
              <w:rPr/>
            </w:pPr>
            <w:r>
              <w:rPr>
                <w:spacing w:val="4"/>
              </w:rPr>
              <w:t>Daniel E. Levy</w:t>
            </w:r>
            <w:r>
              <w:rPr>
                <w:spacing w:val="3"/>
                <w:sz w:val="13"/>
              </w:rPr>
              <w:t>(20)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39" w:type="dxa"/>
            <w:tcBorders/>
            <w:shd w:fill="CCEEFF" w:val="clear"/>
            <w:tcMar>
              <w:bottom w:w="0" w:type="dxa"/>
            </w:tcMar>
            <w:vAlign w:val="center"/>
          </w:tcPr>
          <w:p>
            <w:pPr>
              <w:pStyle w:val="TableContents"/>
              <w:bidi w:val="0"/>
              <w:spacing w:before="0" w:after="0"/>
              <w:jc w:val="left"/>
              <w:rPr/>
            </w:pPr>
            <w:r>
              <w:rPr>
                <w:spacing w:val="4"/>
              </w:rPr>
              <w:t>Eric Brown, Ph.D.</w:t>
            </w:r>
            <w:r>
              <w:rPr>
                <w:spacing w:val="3"/>
                <w:sz w:val="13"/>
              </w:rPr>
              <w:t>(21)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25,677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24,177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9" w:type="dxa"/>
            <w:tcBorders/>
            <w:tcMar>
              <w:bottom w:w="0" w:type="dxa"/>
            </w:tcMar>
            <w:vAlign w:val="center"/>
          </w:tcPr>
          <w:p>
            <w:pPr>
              <w:pStyle w:val="TableContents"/>
              <w:bidi w:val="0"/>
              <w:spacing w:before="0" w:after="0"/>
              <w:jc w:val="left"/>
              <w:rPr/>
            </w:pPr>
            <w:r>
              <w:rPr>
                <w:spacing w:val="4"/>
              </w:rPr>
              <w:t>John B. Henneman III</w:t>
            </w:r>
            <w:r>
              <w:rPr>
                <w:spacing w:val="3"/>
                <w:sz w:val="13"/>
              </w:rPr>
              <w:t>(22)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18,314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13,720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4,594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39" w:type="dxa"/>
            <w:tcBorders/>
            <w:shd w:fill="CCEEFF" w:val="clear"/>
            <w:tcMar>
              <w:bottom w:w="0" w:type="dxa"/>
            </w:tcMar>
            <w:vAlign w:val="center"/>
          </w:tcPr>
          <w:p>
            <w:pPr>
              <w:pStyle w:val="TableContents"/>
              <w:bidi w:val="0"/>
              <w:spacing w:before="0" w:after="0"/>
              <w:jc w:val="left"/>
              <w:rPr/>
            </w:pPr>
            <w:r>
              <w:rPr>
                <w:spacing w:val="4"/>
              </w:rPr>
              <w:t>John P. Hamill</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9" w:type="dxa"/>
            <w:tcBorders/>
            <w:tcMar>
              <w:bottom w:w="0" w:type="dxa"/>
            </w:tcMar>
            <w:vAlign w:val="center"/>
          </w:tcPr>
          <w:p>
            <w:pPr>
              <w:pStyle w:val="TableContents"/>
              <w:bidi w:val="0"/>
              <w:spacing w:before="0" w:after="0"/>
              <w:jc w:val="left"/>
              <w:rPr/>
            </w:pPr>
            <w:r>
              <w:rPr>
                <w:spacing w:val="4"/>
              </w:rPr>
              <w:t>Oren Gilad, Ph.D.</w:t>
            </w:r>
            <w:r>
              <w:rPr>
                <w:spacing w:val="3"/>
                <w:sz w:val="13"/>
              </w:rPr>
              <w:t>(24)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333,001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6.1%</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329,001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6.0%</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39" w:type="dxa"/>
            <w:tcBorders/>
            <w:shd w:fill="CCEEFF" w:val="clear"/>
            <w:tcMar>
              <w:bottom w:w="0" w:type="dxa"/>
            </w:tcMar>
            <w:vAlign w:val="center"/>
          </w:tcPr>
          <w:p>
            <w:pPr>
              <w:pStyle w:val="TableContents"/>
              <w:bidi w:val="0"/>
              <w:spacing w:before="0" w:after="0"/>
              <w:jc w:val="left"/>
              <w:rPr/>
            </w:pPr>
            <w:r>
              <w:rPr>
                <w:spacing w:val="4"/>
              </w:rPr>
              <w:t>Ze’ev Weiss</w:t>
            </w:r>
            <w:r>
              <w:rPr>
                <w:spacing w:val="3"/>
                <w:sz w:val="13"/>
              </w:rPr>
              <w:t>(25)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18,924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13,444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1% </w:t>
      </w:r>
      <w:r>
        <mc:AlternateContent>
          <mc:Choice Requires="wps">
            <w:drawing>
              <wp:anchor behindDoc="0" distT="10033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Common Stock issuable upon exercise of warrants issued in the Private Placement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w:t>
      </w:r>
      <w:r>
        <mc:AlternateContent>
          <mc:Choice Requires="wps">
            <w:drawing>
              <wp:anchor behindDoc="0" distT="4953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know when or in what amounts a selling stockholder may offer shares for sale. The selling stockholders might not sell any or might sell all of the shares offered by this prospectus. Because the selling stockholders may offer all or some of the shares pursuant to this offering, and because there are currently no agreements, arrangements or understandings with respect to the sale of any of the shares, we cannot estimate the number of the shares that will be held by the selling stockholders after completion of the offering. However, for purposes of this table, we have assumed that, after completion of the offering, none of the shares covered by this prospectus will be held by the selling stockholders. </w:t>
      </w:r>
      <w:r>
        <mc:AlternateContent>
          <mc:Choice Requires="wps">
            <w:drawing>
              <wp:anchor behindDoc="0" distT="4953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AIGH Investment Partners, LP holds (i) 119,928 shares of common stock issued in the Private Placement, (ii) pre-funded warrants issued in the Private Placement to purchase 91,206 shares of common stock, (iii) Tranche A common stock purchase warrants issued in the Private Placement to purchase 105,567 shares of common stock, (iv) Tranche B common stock purchase warrants issued in the Private Placement to purchase 105,567 shares of common stock, and (v) 262,131 additional shares of common stock. AIGH Capital Management, LLC serves as an advisor or sub-advisor with respect to shares securities held by AIGH Investment Partners, LP. Orin Hirschman is the Managing Member of AIGH Capital Management, LLC. The principal place of business of AIGH Investment Partners, LP is 6006 Berkeley Avenue, Baltimore, MD 21209. </w:t>
      </w:r>
      <w:r>
        <mc:AlternateContent>
          <mc:Choice Requires="wps">
            <w:drawing>
              <wp:anchor behindDoc="0" distT="4953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WVP Emerging Manager Onshore Fund, LLC — Optimized Equity Series holds (i) 15,916 shares of common stock issued in the Private Placement, (ii) Tranche A common stock purchase warrants issued in the Private Placement to purchase 7,958 shares of common stock, (iii) Tranche B common stock purchase warrants issued in the Private Placement to purchase 7,958 shares of common stock, and (iv) 18,757 additional shares of common stock. AIGH Capital Management, LLC serves as an advisor or sub-advisor with respect to shares securities held by WVP Emerging Manager Onshore Fund, LLC — Optimized Equity Series. Orin Hirschman is the Managing Member of AIGH Capital Management, LLC. The principal place of business of WVP Emerging Manager Onshore Fund, LLC — Optimized Equity Series is 6006 Berkeley Avenue, Baltimore, MD 21209. </w:t>
      </w:r>
      <w:r>
        <mc:AlternateContent>
          <mc:Choice Requires="wps">
            <w:drawing>
              <wp:anchor behindDoc="0" distT="4953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WVP Emerging Manager Onshore Fund, LLC — AIGH Series holds (i) 54,156 shares of common stock issued in the Private Placement, (ii) Tranche A common stock purchase warrants issued in the Private Placement to purchase 27,078 shares of common stock, (iii) Tranche B common stock purchase warrants issued in the Private Placement to purchase 27,078 shares of common stock, and (iv) 68,412 additional shares of common stock. AIGH Capital Management, LLC serves as an advisor or sub-advisor with respect to shares securities held by WVP Emerging Manager Onshore Fund, LLC — AIGH Series. Orin Hirschman is the Managing Member of AIGH Capital Management, LLC. The principal place of business of WVP Emerging Manager Onshore Fund, LLC — AIGH Series is 6006 Berkeley Avenue, Baltimore, MD 21209. </w:t>
      </w:r>
      <w:r>
        <mc:AlternateContent>
          <mc:Choice Requires="wps">
            <w:drawing>
              <wp:anchor behindDoc="0" distT="508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Altium Growth Fund, LP holds (i) 217,842 shares of common stock issued in the Private Placement, (ii) Tranche A common stock purchase warrants issued in the Private Placement to purchase 108,921 shares of common stock, and (iii) Tranche B common stock purchase warrants issued in the Private Placement to purchase 108,921 shares of common stock. Altium Capital Management, LP, the investment manager of Altium Growth Fund, LP, has voting and investment power over these securities. Jacob Gottlieb is the managing member of Altium Capital Growth GP, LLC, which is the general partner of Altium Growth Fund, LP. Each of Altium Growth Fund, LP and Jacob Gottlieb disclaims beneficial ownership over these securities. The principal address of Altium Capital Management, LP is 152 West 57th Street, 20th Floor, New York, NY 10019. </w:t>
      </w:r>
      <w:r>
        <mc:AlternateContent>
          <mc:Choice Requires="wps">
            <w:drawing>
              <wp:anchor behindDoc="0" distT="508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DAFNA Lifescience LP holds (i) 98,766 shares of common stock issued in the Private Placement, (ii) Tranche A common stock purchase warrants issued in the Private Placement to purchase 49,383 shares of common stock, and (iii) Tranche B common stock purchase warrants issued in the Private </w:t>
      </w:r>
      <w:r>
        <mc:AlternateContent>
          <mc:Choice Requires="wps">
            <w:drawing>
              <wp:anchor behindDoc="0" distT="508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Placement to purchase 49,383 shares of common stock. DAFNA Capital Management LLC is the sole general partner of DAFNA LifeScience LP. The Chief Executive Officer and Chief Investment Officer of DAFNA Capital Management LLC are Dr. Nathan Fischel and Dr. Fariba Ghodsian, respectively. These individuals may be deemed to have shared voting and investment power of the shares held by DAFNA LifeScience LP. Each of Dr. Fischel and Dr. Ghodsian disclaim beneficial ownership of such shares, except to the extent of his or her pecuniary interest therein. </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DAFNA Lifescience Select LP holds (i) 38,408 shares of common stock issued in the Private Placement, (ii) Tranche A common stock purchase warrants issued in the Private Placement to purchase 19,204 shares of common stock, and (iii) Tranche B common stock purchase warrants issued in the Private Placement to purchase 19,204 shares of common stock. DAFNA Capital Management LLC is the sole general partner of DAFNA LifeScience Select LP. The Chief Executive Officer and Chief Investment Officer of DAFNA Capital Management LLC are Dr. Nathan Fischel and Dr. Fariba Ghodsian, respectively. These individuals may be deemed to have shared voting and investment power of the shares held by DAFNA LifeScience Select LP. Each of Dr. Fischel and Dr. Ghodsian disclaim beneficial ownership of such shares, except to the extent of his or her pecuniary interest therein. </w:t>
      </w:r>
      <w:r>
        <mc:AlternateContent>
          <mc:Choice Requires="wps">
            <w:drawing>
              <wp:anchor behindDoc="0" distT="4953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Dellora Investments LP holds (i) 205,760 shares of common stock issued in the Private Placement, (ii) Tranche A common stock purchase warrants issued in the Private Placement to purchase 102,880 shares of common stock, and (iii) Tranche B common stock purchase warrants issued in the Private Placement to purchase 102,880 shares of common stock. Kevin Pyun, Managing Partner of Dellora Investments LP has voting and investment power over the shares held by Dellora Investments LP. The business address of each of Dellora Investments LP and Kevin Pyun is 283 Greenwich Ave., 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xml:space="preserve"> Floor, Greenwich, CT 06830. </w:t>
      </w:r>
      <w:r>
        <mc:AlternateContent>
          <mc:Choice Requires="wps">
            <w:drawing>
              <wp:anchor behindDoc="0" distT="4953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Worldwide Healthcare Partners LLC holds (i) 137,174 shares of common stock issued in the Private Placement, (ii) Tranche A common stock purchase warrants issued in the Private Placement to purchase 68,587 shares of common stock, and (iii) Tranche B common stock purchase warrants issued in the Private Placement to purchase 68,587 shares of common stock. Samuel D. Isaly, Managing Member of Worldwide Healthcare Partners LLC, has voting and investment power over the shares held by Worldwide Healthcare Partners LLC. The business address of each of Worldwide Healthcare Partners LLC and Mr. Isaly is 330 Madison Avenue, Suite 3010, New York, NY 10017. </w:t>
      </w:r>
      <w:r>
        <mc:AlternateContent>
          <mc:Choice Requires="wps">
            <w:drawing>
              <wp:anchor behindDoc="0" distT="49530" distB="0" distL="0" distR="0" simplePos="0" locked="0" layoutInCell="1" allowOverlap="1" relativeHeight="40">
                <wp:simplePos x="0" y="0"/>
                <wp:positionH relativeFrom="column">
                  <wp:align>left</wp:align>
                </wp:positionH>
                <wp:positionV relativeFrom="line">
                  <wp:align>top</wp:align>
                </wp:positionV>
                <wp:extent cx="254000" cy="52578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Nantahala Capital Partners Limited Partnership holds (i) 42,530 shares of common stock issued in the Private Placement, (ii) Tranche A common stock purchase warrants issued in the Private Placement to purchase 21,265 shares of common stock, and (iii) Tranche B common stock purchase warrants issued in the Private Placement to purchase 21,265 shares of common stock. Nantahala Capital Management, LLC is a Registered Investment Adviser and has been delegated the legal power to vote and/or direct the disposition of such securities on behalf of the selling stockholder as a General Partner, Investment Manager, or Sub-Advisor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 The principal business address for Nantahala Capital Partners Limited Partnership is 130 Main St. 2nd Floor, New Canaan, CT 06840. </w:t>
      </w:r>
      <w:r>
        <mc:AlternateContent>
          <mc:Choice Requires="wps">
            <w:drawing>
              <wp:anchor behindDoc="0" distT="49530" distB="0" distL="0" distR="0" simplePos="0" locked="0" layoutInCell="1" allowOverlap="1" relativeHeight="41">
                <wp:simplePos x="0" y="0"/>
                <wp:positionH relativeFrom="column">
                  <wp:align>left</wp:align>
                </wp:positionH>
                <wp:positionV relativeFrom="line">
                  <wp:align>top</wp:align>
                </wp:positionV>
                <wp:extent cx="254000" cy="52578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NCP RFM LP holds (i) 36,160 shares of common stock issued in the Private Placement, (ii) Tranche A common stock purchase warrants issued in the Private Placement to purchase 18,080 shares of common stock, and (iii) Tranche B common stock purchase warrants issued in the Private Placement to purchase 18,080 shares of common stock. Nantahala Capital Management, LLC is a Registered Investment Adviser and has been delegated the legal power to vote and/or direct the disposition of such securities on behalf of the selling stockholder as a General Partner, Investment Manager, or Sub-Advisor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w:t>
      </w:r>
      <w:r>
        <mc:AlternateContent>
          <mc:Choice Requires="wps">
            <w:drawing>
              <wp:anchor behindDoc="0" distT="50800" distB="0" distL="0" distR="0" simplePos="0" locked="0" layoutInCell="1" allowOverlap="1" relativeHeight="42">
                <wp:simplePos x="0" y="0"/>
                <wp:positionH relativeFrom="column">
                  <wp:align>left</wp:align>
                </wp:positionH>
                <wp:positionV relativeFrom="line">
                  <wp:align>top</wp:align>
                </wp:positionV>
                <wp:extent cx="254000" cy="52578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dispositive power over the shares held by the selling stockholder. The principal business address for NCP RFM LP is 130 Main St. 2nd Floor, New Canaan, CT 06840.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Blackwell Partners LLC — Series A holds (i) 127,070 shares of common stock issued in the Private Placement, (ii) Tranche A common stock purchase warrants issued in the Private Placement to purchase 63,535 shares of common stock, and (iii) Tranche B common stock purchase warrants issued in the Private Placement to purchase 63,535 shares of common stock. Nantahala Capital Management, LLC is a Registered Investment Adviser and has been delegated the legal power to vote and/or direct the disposition of such securities on behalf of the selling stockholder as a General Partner, Investment Manager, or Sub-Advisor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 The principal business address for Blackwell Partners LLC — Series A is 280 South Mangum Street, Suite 210, Durham, NC 27701. </w:t>
      </w:r>
      <w:r>
        <mc:AlternateContent>
          <mc:Choice Requires="wps">
            <w:drawing>
              <wp:anchor behindDoc="0" distT="50800" distB="0" distL="0" distR="0" simplePos="0" locked="0" layoutInCell="1" allowOverlap="1" relativeHeight="43">
                <wp:simplePos x="0" y="0"/>
                <wp:positionH relativeFrom="column">
                  <wp:align>left</wp:align>
                </wp:positionH>
                <wp:positionV relativeFrom="line">
                  <wp:align>top</wp:align>
                </wp:positionV>
                <wp:extent cx="254000" cy="52578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 Hook Fund LP holds (i) 27,434 shares of common stock issued in the Private Placement, (ii) Tranche A common stock purchase warrants issued in the Private Placement to purchase 13,717 shares of common stock, and (iii) Tranche B common stock purchase warrants issued in the Private Placement to purchase 13,717 shares of common stock. The principal business address of The Red Hook Fund LP is 44 Ball Road, Mountain Lakes, NJ 07046. </w:t>
      </w:r>
      <w:r>
        <mc:AlternateContent>
          <mc:Choice Requires="wps">
            <w:drawing>
              <wp:anchor behindDoc="0" distT="50800" distB="0" distL="0" distR="0" simplePos="0" locked="0" layoutInCell="1" allowOverlap="1" relativeHeight="44">
                <wp:simplePos x="0" y="0"/>
                <wp:positionH relativeFrom="column">
                  <wp:align>left</wp:align>
                </wp:positionH>
                <wp:positionV relativeFrom="line">
                  <wp:align>top</wp:align>
                </wp:positionV>
                <wp:extent cx="254000" cy="52578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Lytton-Kambra Foundation holds (i) 137,174 shares of common stock issued in the Private Placement, (ii) Tranche A common stock purchase warrants issued in the Private Placement to purchase 68,587 shares of common stock, and (iii) Tranche B common stock purchase warrants issued in the Private Placement to purchase 68,587 shares of common stock. Laurence Lytton, the President of the Lytton-Kambara Foundation, has the power to vote and dispose of the securities held by Lytton-Kambara Foundation. The principal place of business of Lytton-Kambara Foundation is 467 Central Park West 17-A, New York, NY 10025. </w:t>
      </w:r>
      <w:r>
        <mc:AlternateContent>
          <mc:Choice Requires="wps">
            <w:drawing>
              <wp:anchor behindDoc="0" distT="50800" distB="0" distL="0" distR="0" simplePos="0" locked="0" layoutInCell="1" allowOverlap="1" relativeHeight="45">
                <wp:simplePos x="0" y="0"/>
                <wp:positionH relativeFrom="column">
                  <wp:align>left</wp:align>
                </wp:positionH>
                <wp:positionV relativeFrom="line">
                  <wp:align>top</wp:align>
                </wp:positionV>
                <wp:extent cx="254000" cy="52578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Sphera Biotech Master Fund LP holds (i) 216,000 shares of common stock issued in the Private Placement, (ii) pre-funded warrants issued in the Private Placement to purchase 332,696 shares of common stock, (iii) Tranche A common stock purchase warrants issued in the Private Placement to purchase 274,348 shares of common stock, and (iv) Tranche B common stock purchase warrants issued in the Private Placement to purchase 274,348 shares of common stock. Sphera Biotech GP LP (the “General Partner”) is the general partner of Sphera Biotech Master Fund LP. Sphera Global Healthcare Management LP is the general partner of the General Partner and acts as the Investment Manager for Sphera Biotech Master Fund and holds voting and investment power over the shares held by Sphera Biotech Master Fund. Accordingly, Sphera Global Healthcare Management LP may be deemed to have beneficial ownership of the shares held by Sphera Biotech Master Fund LP. Sphera Global Healthcare Management LP disclaims beneficial ownership of such shares, except to the extent of its pecuniary interest therein. The address of Sphera Biotech Master Fund LP is 4 Yitzhak Sadeh, Entrance A, 29th Floor, Tel Aviv 6777520, Israel. </w:t>
      </w:r>
      <w:r>
        <mc:AlternateContent>
          <mc:Choice Requires="wps">
            <w:drawing>
              <wp:anchor behindDoc="0" distT="50800" distB="0" distL="0" distR="0" simplePos="0" locked="0" layoutInCell="1" allowOverlap="1" relativeHeight="46">
                <wp:simplePos x="0" y="0"/>
                <wp:positionH relativeFrom="column">
                  <wp:align>left</wp:align>
                </wp:positionH>
                <wp:positionV relativeFrom="line">
                  <wp:align>top</wp:align>
                </wp:positionV>
                <wp:extent cx="254000" cy="52578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Sphera Global Healthcare Master Fund holds (i) 54,000 shares of common stock issued in the Private Placement, (ii) pre-funded warrants issued in the Private Placement to purchase 83,174 shares of common stock, (iii) Tranche A common stock purchase warrants issued in the Private Placement to purchase 68,587 shares of common stock, and (iv) Tranche B common stock purchase warrants issued in the Private Placement to purchase 68,587 shares of common stock. Sphera Global Healthcare Management LP acts as the Investment Manager for Sphera Global Healthcare Master Fund and holds voting and investment power over the shares held by Sphera Global Healthcare Master Fund. Accordingly, Sphera Global Healthcare Management LP may be deemed to have beneficial ownership of the shares held by Sphera Global Healthcare Master Fund LP. Sphera Global Healthcare Management LP disclaims beneficial ownership of such shares, except to the extent of its pecuniary interest therein. The address of Sphera Global Healthcare Master Fund LP is 4 Yitzhak Sadeh, Entrance A, 29th Floor, Tel Aviv 6777520, Israel. </w:t>
      </w:r>
      <w:r>
        <mc:AlternateContent>
          <mc:Choice Requires="wps">
            <w:drawing>
              <wp:anchor behindDoc="0" distT="50800" distB="0" distL="0" distR="0" simplePos="0" locked="0" layoutInCell="1" allowOverlap="1" relativeHeight="47">
                <wp:simplePos x="0" y="0"/>
                <wp:positionH relativeFrom="column">
                  <wp:align>left</wp:align>
                </wp:positionH>
                <wp:positionV relativeFrom="line">
                  <wp:align>top</wp:align>
                </wp:positionV>
                <wp:extent cx="254000" cy="52578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Stonepine Capital, LP holds (i) 137,174 shares of common stock issued in the Private Placement, (ii) Tranche A common stock purchase warrants issued in the Private Placement to purchase 68,587 shares of common stock, and (iv) Tranche B common stock purchase warrants issued in the Private Placement to purchase 68,587 shares of common stock. Stonepine Capital Management, LLC is the investment adviser of Stonepine Capital, LP and Stonepine GP, LLC is the general partner of Stonepine Capital, LP. Jon Plexico and Timothy P. Lynch are the control persons of Stonepine Capital Management, LLC. Stonepine Capital Management, LLC and each of Messrs. Plexico and Lynch disclaim beneficial ownership of the securities except to the extent of their pecuniary interest therein. The principal place of business of Stonepine Capital, LP is 919 NW Bond Street, Suite 204, Bend, OR 97703.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254000" cy="52578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Bernd R. Seizinger, M.D., Ph.D. holds (i) 26,325 shares of common stock, (ii) 2,895 shares of common stock issuable upon exercise of stock options exercisable within 60 days of March 13, 2014, (iii) 6,860 shares of common stock issued in the Private Placement, (iv) Tranche A common stock purchase warrants issued in the Private Placement to purchase 3,430 shares of common stock, and (v) Tranche B common stock purchase warrants issued in the Private Placement to purchase 3,430 shares of common stock. </w:t>
      </w:r>
      <w:r>
        <mc:AlternateContent>
          <mc:Choice Requires="wps">
            <w:drawing>
              <wp:anchor behindDoc="0" distT="52070" distB="0" distL="0" distR="0" simplePos="0" locked="0" layoutInCell="1" allowOverlap="1" relativeHeight="49">
                <wp:simplePos x="0" y="0"/>
                <wp:positionH relativeFrom="column">
                  <wp:align>left</wp:align>
                </wp:positionH>
                <wp:positionV relativeFrom="line">
                  <wp:align>top</wp:align>
                </wp:positionV>
                <wp:extent cx="254000" cy="52578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Daniel E. Levy holds (i) 2,000 shares of common stock issued in the Private Placement, (ii) Tranche A common stock purchase warrants issued in the Private Placement to purchase 1,000 shares of common stock, and (iii) Tranche B common stock purchase warrants issued in the Private Placement to purchase 1,000 shares of common stock. </w:t>
      </w:r>
      <w:r>
        <mc:AlternateContent>
          <mc:Choice Requires="wps">
            <w:drawing>
              <wp:anchor behindDoc="0" distT="50800" distB="0" distL="0" distR="0" simplePos="0" locked="0" layoutInCell="1" allowOverlap="1" relativeHeight="50">
                <wp:simplePos x="0" y="0"/>
                <wp:positionH relativeFrom="column">
                  <wp:align>left</wp:align>
                </wp:positionH>
                <wp:positionV relativeFrom="line">
                  <wp:align>top</wp:align>
                </wp:positionV>
                <wp:extent cx="254000" cy="52578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Eric Brown, Ph.D. holds (i) 9,709 shares of common stock, (ii) 14,468 shares of common stock issuable upon exercise of stock options exercisable within 60 days of March 13, 2014, (iii) 750 shares of common stock issued in the Private Placement, (iv) Tranche A common stock purchase warrants issued in the Private Placement to purchase 375 shares of common stock, and (v) Tranche B common stock purchase warrants issued in the Private Placement to purchase 375 shares of common stock. </w:t>
      </w:r>
      <w:r>
        <mc:AlternateContent>
          <mc:Choice Requires="wps">
            <w:drawing>
              <wp:anchor behindDoc="0" distT="50800" distB="0" distL="0" distR="0" simplePos="0" locked="0" layoutInCell="1" allowOverlap="1" relativeHeight="51">
                <wp:simplePos x="0" y="0"/>
                <wp:positionH relativeFrom="column">
                  <wp:align>left</wp:align>
                </wp:positionH>
                <wp:positionV relativeFrom="line">
                  <wp:align>top</wp:align>
                </wp:positionV>
                <wp:extent cx="254000" cy="52578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John B. Henneman III holds (i) 779 shares of common stock, (ii) 3,815 shares of common stock issuable upon exercise of stock options exercisable within 60 days of March 13, 2014, (iii) 6,860 shares of common stock issued in the Private Placement, (iv) Tranche A common stock purchase warrants issued in the Private Placement to purchase 3,430 shares of common stock, and (v) Tranche B common stock purchase warrants issued in the Private Placement to purchase 3,430 shares of common stock. </w:t>
      </w:r>
      <w:r>
        <mc:AlternateContent>
          <mc:Choice Requires="wps">
            <w:drawing>
              <wp:anchor behindDoc="0" distT="50800" distB="0" distL="0" distR="0" simplePos="0" locked="0" layoutInCell="1" allowOverlap="1" relativeHeight="52">
                <wp:simplePos x="0" y="0"/>
                <wp:positionH relativeFrom="column">
                  <wp:align>left</wp:align>
                </wp:positionH>
                <wp:positionV relativeFrom="line">
                  <wp:align>top</wp:align>
                </wp:positionV>
                <wp:extent cx="254000" cy="52578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John Hamill holds (i) 5,497 shares of common stock, (ii) 8,433 shares of common stock issuable upon exercise of stock options exercisable within 60 days of March 13, 2014, (iii) 1,010 shares of common stock issued in the Private Placement, (iv) Tranche A common stock purchase warrants issued in the Private Placement to purchase 505 shares of common stock, and (v) Tranche B common stock purchase warrants issued in the Private Placement to purchase 505 shares of common stock. </w:t>
      </w:r>
      <w:r>
        <mc:AlternateContent>
          <mc:Choice Requires="wps">
            <w:drawing>
              <wp:anchor behindDoc="0" distT="50800" distB="0" distL="0" distR="0" simplePos="0" locked="0" layoutInCell="1" allowOverlap="1" relativeHeight="53">
                <wp:simplePos x="0" y="0"/>
                <wp:positionH relativeFrom="column">
                  <wp:align>left</wp:align>
                </wp:positionH>
                <wp:positionV relativeFrom="line">
                  <wp:align>top</wp:align>
                </wp:positionV>
                <wp:extent cx="254000" cy="52578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Oren Gilad, Ph.D. holds (i) 318,526 shares of common stock, 1,800 shares of which are held by Dr. Gilad’s adult children, (ii) 10,475 shares of common stock issuable upon exercise of stock options exercisable within 60 days of March 13, 2014, (iii) 2,000 shares of common stock issued in the Private Placement, (iv) Tranche A common stock purchase warrants issued in the Private Placement to purchase 1,000 shares of common stock, and (v) Tranche B common stock purchase warrants issued in the Private Placement to purchase 1,000 shares of common stock. Dr. Gilad disclaims the beneficial ownership of the shares held by his adult children. </w:t>
      </w:r>
      <w:r>
        <mc:AlternateContent>
          <mc:Choice Requires="wps">
            <w:drawing>
              <wp:anchor behindDoc="0" distT="50800" distB="0" distL="0" distR="0" simplePos="0" locked="0" layoutInCell="1" allowOverlap="1" relativeHeight="54">
                <wp:simplePos x="0" y="0"/>
                <wp:positionH relativeFrom="column">
                  <wp:align>left</wp:align>
                </wp:positionH>
                <wp:positionV relativeFrom="line">
                  <wp:align>top</wp:align>
                </wp:positionV>
                <wp:extent cx="254000" cy="52578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Ze’ev Weiss holds (i) 13,444 shares of common stock issuable upon exercise of stock options exercisable within 60 days of March 13, 2014, (ii) 2,740 shares of common stock issued in the Private Placement, (iii) Tranche A common stock purchase warrants issued in the Private Placement to purchase 1,370 shares of common stock, and (iv) Tranche B common stock purchase warrants issued in the Private Placement to purchase 1,370 shares of common stock. </w:t>
      </w:r>
      <w:r>
        <mc:AlternateContent>
          <mc:Choice Requires="wps">
            <w:drawing>
              <wp:anchor behindDoc="0" distT="50800" distB="0" distL="0" distR="0" simplePos="0" locked="0" layoutInCell="1" allowOverlap="1" relativeHeight="55">
                <wp:simplePos x="0" y="0"/>
                <wp:positionH relativeFrom="column">
                  <wp:align>left</wp:align>
                </wp:positionH>
                <wp:positionV relativeFrom="line">
                  <wp:align>top</wp:align>
                </wp:positionV>
                <wp:extent cx="254000" cy="52578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Relationships with Selling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Bernd R. Seizinger, M.D., Ph.D.</w:t>
      </w:r>
      <w:r>
        <w:rPr>
          <w:rFonts w:ascii="Times New Roman;Times;serif" w:hAnsi="Times New Roman;Times;serif"/>
          <w:b w:val="false"/>
          <w:i w:val="false"/>
          <w:caps w:val="false"/>
          <w:smallCaps w:val="false"/>
          <w:color w:val="000000"/>
          <w:spacing w:val="4"/>
          <w:sz w:val="20"/>
        </w:rPr>
        <w:t xml:space="preserve"> has served as a member of our board of directors since 2015.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Eric Brown, Ph.D.</w:t>
      </w:r>
      <w:r>
        <w:rPr>
          <w:rFonts w:ascii="Times New Roman;Times;serif" w:hAnsi="Times New Roman;Times;serif"/>
          <w:b w:val="false"/>
          <w:i w:val="false"/>
          <w:caps w:val="false"/>
          <w:smallCaps w:val="false"/>
          <w:color w:val="000000"/>
          <w:spacing w:val="4"/>
          <w:sz w:val="20"/>
        </w:rPr>
        <w:t xml:space="preserve">, serves as one of our scientific consultants.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John B. Henneman III</w:t>
      </w:r>
      <w:r>
        <w:rPr>
          <w:rFonts w:ascii="Times New Roman;Times;serif" w:hAnsi="Times New Roman;Times;serif"/>
          <w:b w:val="false"/>
          <w:i w:val="false"/>
          <w:caps w:val="false"/>
          <w:smallCaps w:val="false"/>
          <w:color w:val="000000"/>
          <w:spacing w:val="4"/>
          <w:sz w:val="20"/>
        </w:rPr>
        <w:t xml:space="preserve"> has been a member of our board of directors since August 2019.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64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John P. Hamill</w:t>
      </w:r>
      <w:r>
        <w:rPr>
          <w:rFonts w:ascii="Times New Roman;Times;serif" w:hAnsi="Times New Roman;Times;serif"/>
          <w:b w:val="false"/>
          <w:i w:val="false"/>
          <w:caps w:val="false"/>
          <w:smallCaps w:val="false"/>
          <w:color w:val="000000"/>
          <w:spacing w:val="4"/>
          <w:sz w:val="20"/>
        </w:rPr>
        <w:t xml:space="preserve"> has served as our Senior Vice President, Chief Financial Officer and Secretary since January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Oren Gilad, Ph.D.</w:t>
      </w:r>
      <w:r>
        <w:rPr>
          <w:rFonts w:ascii="Times New Roman;Times;serif" w:hAnsi="Times New Roman;Times;serif"/>
          <w:b w:val="false"/>
          <w:i w:val="false"/>
          <w:caps w:val="false"/>
          <w:smallCaps w:val="false"/>
          <w:color w:val="000000"/>
          <w:spacing w:val="4"/>
          <w:sz w:val="20"/>
        </w:rPr>
        <w:t xml:space="preserve"> has served as our Chief Executive Officer since July 2022 and as our President and a member of our board of directors since May 2022.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Ze’ev Weiss</w:t>
      </w:r>
      <w:r>
        <w:rPr>
          <w:rFonts w:ascii="Times New Roman;Times;serif" w:hAnsi="Times New Roman;Times;serif"/>
          <w:b w:val="false"/>
          <w:i w:val="false"/>
          <w:caps w:val="false"/>
          <w:smallCaps w:val="false"/>
          <w:color w:val="000000"/>
          <w:spacing w:val="4"/>
          <w:sz w:val="20"/>
        </w:rPr>
        <w:t xml:space="preserve"> has served as our Chief Business Advisor since May 2022.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Daniel E. Levy </w:t>
      </w:r>
      <w:r>
        <w:rPr>
          <w:rFonts w:ascii="Times New Roman;Times;serif" w:hAnsi="Times New Roman;Times;serif"/>
          <w:b w:val="false"/>
          <w:i w:val="false"/>
          <w:caps w:val="false"/>
          <w:smallCaps w:val="false"/>
          <w:color w:val="000000"/>
          <w:spacing w:val="4"/>
          <w:sz w:val="20"/>
        </w:rPr>
        <w:t xml:space="preserve">has served as a chemistry, manufacturing and controls consultant to us since July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OD"/>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which as used herein includes donees, pledgees, assignees, transferees or other successors-in-interest selling shares of common stock or interests in shares of common stock received after the date of this prospectus from a selling stockholder as a gift, pledge, partnership distribution or other transfer (the “Selling Stockholders”),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Stockholders may use any one or more of the following methods when disposing of their securities or interests therein: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any national securities exchange or quotation service on which the securities may be listed or quoted at the time of sale; </w:t>
      </w:r>
      <w:r>
        <mc:AlternateContent>
          <mc:Choice Requires="wps">
            <w:drawing>
              <wp:anchor behindDoc="0" distT="7239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over-the-counter market; </w:t>
      </w:r>
      <w:r>
        <mc:AlternateContent>
          <mc:Choice Requires="wps">
            <w:drawing>
              <wp:anchor behindDoc="0" distT="7239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purchasers; </w:t>
      </w:r>
      <w:r>
        <mc:AlternateContent>
          <mc:Choice Requires="wps">
            <w:drawing>
              <wp:anchor behindDoc="0" distT="7239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will attempt to sell the securities as agent but may position and resell a portion of the block as principal to facilitate the transaction; </w:t>
      </w:r>
      <w:r>
        <mc:AlternateContent>
          <mc:Choice Requires="wps">
            <w:drawing>
              <wp:anchor behindDoc="0" distT="7239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brokers, dealers or underwriters that may act solely as agents; </w:t>
      </w:r>
      <w:r>
        <mc:AlternateContent>
          <mc:Choice Requires="wps">
            <w:drawing>
              <wp:anchor behindDoc="0" distT="7239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239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in accordance with the rules of the applicable exchange; </w:t>
      </w:r>
      <w:r>
        <mc:AlternateContent>
          <mc:Choice Requires="wps">
            <w:drawing>
              <wp:anchor behindDoc="0" distT="7239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239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delivery of shares in settlement of short sales; </w:t>
      </w:r>
      <w:r>
        <mc:AlternateContent>
          <mc:Choice Requires="wps">
            <w:drawing>
              <wp:anchor behindDoc="0" distT="7239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transactions through broker-dealers that agree with the Selling Stockholders to sell a specified number of such securities at a stipulated price per security; </w:t>
      </w:r>
      <w:r>
        <mc:AlternateContent>
          <mc:Choice Requires="wps">
            <w:drawing>
              <wp:anchor behindDoc="0" distT="7239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or other hedging transactions, whether through an options exchange or otherwise; </w:t>
      </w:r>
      <w:r>
        <mc:AlternateContent>
          <mc:Choice Requires="wps">
            <w:drawing>
              <wp:anchor behindDoc="0" distT="7239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or </w:t>
      </w:r>
      <w:r>
        <mc:AlternateContent>
          <mc:Choice Requires="wps">
            <w:drawing>
              <wp:anchor behindDoc="0" distT="7239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239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also sell securities under Rule 144 or any other exemption from registration under the Securities Act of 1933, as amended (the “Securities Act”), if available, rather than under this prospectus. Broker-dealers engaged by the Selling Stockholders may arrange for other brokers-dealers to participate in sales. Broker-dealers, underwriters and other agents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from time to time pledge or grant a security interest in some or all of the shares of common stock owned by them and the pledgee or other secured party, transferee or other successor in interest may sell shares of common stock from time to time under this prospectus, or under a supplement or amendment to this prospectus under Rule 424(b)(3) or other applicable provision of the Securities Act amending the list of Selling Stockholders to include the pledgee, secured party, transferee or other successors in interest as Selling Stockholders under this prospectus. The Selling Stockholders also may transfer the shares of common stock in other circumstances in which case the donees, pledgees, assignees, transferees or other successors-in-interest may be the selling beneficial owners for purposes of this prospectus and may sell such shares of common stock from time to time under this prospectus after an amendment or supplement has been filed under Rule 424(b)(3) under, or another applicable provision of, the Securities Act, amending, if necessary, the list of Selling Stockholders to include the donees, pledgees, assignees, transferees or other successors-in-interest as a Selling Stockholder under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being notified in writing by the Selling Stockholder that any material arrangement has been entered into with a broker-dealer for the sale of shares of common stock through a block trade, special offering, exchange distribution or secondary distribution or a purchase by a broker or dealer, a supplement to this prospectus, if required, pursuant to Rule 424(b) under the Securities Act will be filed, disclosing (i) the name of each such Selling Stockholder and of the participating broker-dealer(s), (ii) the number of shares of common stock involved, (iii) the price at which such shares of common stock were sold, (iv) the commissions paid or discounts or concessions allowed to such broker-dealer(s), where applicable, (v) that such broker-dealer(s) did not conduct any investigation to verify the information set out or incorporated by reference in this prospectus, if applicable, and (vi) other facts material to the transaction.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also may transfer the shares of common stock in other circumstances, in which case the donees, pledgees, assignees, transferees or other successors-in-interest will be the selling beneficial owners for purposes of this prospectus.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the securities or interests therein, the Selling Stockholders may enter into hedging transactions after the effective date of the registration statement of which this prospectus is a part with broker-dealers or other financial institutions, which may in turn engage in short sales of the securities in the course of hedging the positions they assume. The Selling Stockholders may also sell securities short after the effective date of the registration statement of which this prospectus forms a part and deliver these securities to close out their short positions, or loan or pledge the securities to broker-dealers that in turn may sell these securities. The Selling Stockholders may also enter into option or other transactions after the effective date of the registration statement of which this prospectus forms a part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including in the short sale transactions.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 Any compensation paid to underwriters, broker-dealers or agents in connection with the offering of the securities, and any discounts, concessions or commissions allowed by underwriters to participating dealers will be provided in the applicable prospectus supplement and shall comply with the rules and requirements of the Financial Industry Regulatory Authority.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required to pay certain fees and expenses incurred by us incident to the registration of the securities. We have agreed to indemnify the Selling Stockholders against certain losses, claims, damages and liabilities to which they may become subject, including liabilities under the Securities Act.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agreed to keep this prospectus effective until the earlier of (i) the date that such securities become eligible for resale without volume or manner-of-sale restrictions and without current public information pursuant to Rule 144 and certain other conditions have been satisfied, or (ii) all of the securities have been sold pursuant to this prospectus or Rule 144 under the Securities Act or any other rule of similar effect.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any Selling Stockholder will sell any or all of the shares of common stock registered pursuant to the registration statement of which this prospectus forms a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C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authorizes us to issue up to 400,000,000 shares of common stock, par value $0.001 per share, and 40,000,000 shares of preferred stock, par value $0.001 per share. The following summary sets forth some of the general terms of our common stock. Because this is a summary, it does not contain all of the information that may be important to you. For a more detailed description of our common stock, you should read our amended and restated certificate of incorporation and the amended and restated bylaws, each of which is an exhibit to our Annual Report on Form 10-K to which this summary is also an exhibit, and the applicable provisions of the Delaware General Corporation Law (the “DGCL”).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April 2, 2024, we had outstanding 5,430,215 shares of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common stock are entitled to one vote for each share held on all matters submitted to a vote of stockholders and do not have cumulative voting rights. An election of directors by our stockholders will be determined by a plurality of the votes cast by the stockholders entitled to vote on the election. Other matters shall be decided by the affirmative vote of our stockholders having a majority in voting power of the votes cast by the stockholders present or represented and voting on such matter, except as otherwise disclosed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common stock are entitled to receive proportionately any dividends as may be declared by our board of directors, subject to any preferential dividend rights of outstanding preferred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our liquidation or dissolution, the holders of common stock are entitled to receive proportionately all assets available for distribution to stockholders after the payment of all debts and other liabilities and subject to the prior rights of any outstanding preferred stock. Holders of common stock have no preemptive, subscription, redemption or conversion rights.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and Preferences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You should refer to the applicable certificate of designation for complete information regarding a series of preferred stock to be issued under this prospectus and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As of December 31, 2023, there were 56,227 shares of Series A Preferred Stock outstanding. We have no present plans to issue any additional shares of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Delaware law and our charter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our certificate of incorporation and our bylaws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Staggered board; removal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bylaws divides our board of directors into three classes with staggered three-year terms. In addition, a director may only be removed for cause and only by the affirmative vote of the holders of a majority of the votes that all of our stockholders would be entitled to cast in an annual election of directors. Any vacancy on our board of directors, including a vacancy resulting from an enlargement of our board of directors, will only be able to be filled by vote of a majority of our directors then in office. The classification of our board of directors and the limitations on the removal of directors and filling of vacancies could make it more difficult for a third party to acquire, or discourage a third party from seeking to acquire, control of our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action by written consent; special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bylaws also provide that, except as otherwise required by law, special meetings of our stockholders can only be called by our chairman of the board, our Chief Executive Officer or our board of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Advance notice requirements for stockholder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establish an advance notice procedure for stockholder proposals to be brought before an annual meeting of stockholders, including proposed nominations of persons for election to our board of directors. Stockholders at an annual meeting are only able to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business combination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4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certificate of incorporation and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certificate of incorporation described above under “Staggered board; removal of directors” and “Stockholder action by written consent; special meetings.”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Exclusive forum selection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unless we consent in writing to the selection of an alternative forum, to the fullest extent permitted by law, the Court of Chancery of the State of Delaware (or if the Court of Chancery does not have jurisdiction, the federal district court for the District of Delaware) shall be the sole and exclusive forum for (1) any derivative action or proceeding brought on behalf of our company under Delaware law, (2) any action asserting a claim of breach of a fiduciary duty owed by any of our directors, officers or employees to our company or our stockholders, (3) any action asserting a claim against our company arising pursuant to any provision of the DGCL or our certificate of incorporation or bylaws, (4) any action asserting a claim against our company governed by the internal affairs doctrine or (5) any other action asserting an “internal corporate claim,” as defined in Section 115 of the DGCL. These exclusive-forum provisions do not currently apply to claims under the Securities Act of 1933, as amended, or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on The Nasdaq Capital Market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Capital Market under the symbol “APRE.”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but unissued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authorized but unissued shares of common stock and preferred stock are available for future issuance without stockholder approval, subject to any limitations imposed by the listing requirements of The Nasdaq Capital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Computershare Trust Company, N.A. The transfer agent and registrar’s address is 150 Royall St., Canton, MA 02021.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LEM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being offered hereby will be passed upon for us by DLA Piper LLP (US), Philadelphia, Pennsylvania.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EX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balance sheet of Aprea Therapeutics, Inc. and Subsidiaries as of December 31, 2023, and the related consolidated statements of operations and comprehensive loss, convertible preferred stock and stockholders’ equity, and cash flows for the year then ended, have been audited by EisnerAmper LLP, independent registered public accounting firm, as stated in their report dated March 26, 2024, which is incorporated herein by reference. Such financial statements have been incorporated herein by reference in reliance on the report of such firm given upon their authority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balance sheets of Aprea Therapeutics, Inc. as of December 31, 2022 and 2021, and the related consolidated statements of operations and comprehensive loss, stockholders’ equity, and cash flows for each of the years then ended, have been audited by Ernst &amp; Young LLP, independent registered public accounting firm, as stated in their report dated March 30, 2023. Such financial statements have been incorporated herein by reference in reliance on the report of such firm given upon their authority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WYCF"/>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under the Securities Act of 1933, as amended (the “Securities Act”), with respect to the securities offered by this prospectus and any applicable prospectus supplement. This prospectus and any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any applicable prospectus supplement, you should read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documents with the SEC under the U.S. Securities Exchange Act of 1934, as amended (the “Exchange Act”). The SEC maintains a website that contains reports, proxy and information statements and other information regarding issuers, including us, that file electronically with the SEC. You may obtain documents that we file with the SEC at http://www.sec.gov. We also make these documents available on our website at </w:t>
      </w:r>
      <w:r>
        <w:rPr>
          <w:rFonts w:ascii="Times New Roman;Times;serif" w:hAnsi="Times New Roman;Times;serif"/>
          <w:b w:val="false"/>
          <w:i/>
          <w:caps w:val="false"/>
          <w:smallCaps w:val="false"/>
          <w:color w:val="000000"/>
          <w:spacing w:val="4"/>
          <w:sz w:val="20"/>
        </w:rPr>
        <w:t>www.aprea.com</w:t>
      </w:r>
      <w:r>
        <w:rPr>
          <w:rFonts w:ascii="Times New Roman;Times;serif" w:hAnsi="Times New Roman;Times;serif"/>
          <w:b w:val="false"/>
          <w:i w:val="false"/>
          <w:caps w:val="false"/>
          <w:smallCaps w:val="false"/>
          <w:color w:val="000000"/>
          <w:spacing w:val="4"/>
          <w:sz w:val="20"/>
        </w:rPr>
        <w:t xml:space="preserve">. Our website and the information contained or accessible through our website is not incorporated by reference in this prospectus or any prospectus supplement, and you should not consider it part of this prospectus or any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IIBR"/>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any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 </w:t>
      </w:r>
    </w:p>
    <w:p>
      <w:pPr>
        <w:pStyle w:val="TextBody"/>
        <w:bidi w:val="0"/>
        <w:spacing w:lineRule="atLeast" w:line="240" w:before="114" w:after="0"/>
        <w:ind w:left="1993" w:right="0" w:hanging="0"/>
        <w:jc w:val="left"/>
        <w:rPr/>
      </w:pPr>
      <w:hyperlink r:id="rId4">
        <w:r>
          <w:rPr>
            <w:rStyle w:val="InternetLink"/>
          </w:rPr>
          <w:t>Annual Report on Form 10-K for the year ended December 31, 2023, filed with the SEC on March 26,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filed with the SEC on </w:t>
      </w:r>
      <w:hyperlink r:id="rId5">
        <w:r>
          <w:rPr>
            <w:rStyle w:val="InternetLink"/>
          </w:rPr>
          <w:t>January 4, 2024</w:t>
        </w:r>
      </w:hyperlink>
      <w:r>
        <w:rPr>
          <w:rFonts w:ascii="Times New Roman;Times;serif" w:hAnsi="Times New Roman;Times;serif"/>
          <w:b w:val="false"/>
          <w:i w:val="false"/>
          <w:caps w:val="false"/>
          <w:smallCaps w:val="false"/>
          <w:color w:val="000000"/>
          <w:spacing w:val="4"/>
          <w:sz w:val="20"/>
        </w:rPr>
        <w:t xml:space="preserve">, </w:t>
      </w:r>
      <w:hyperlink r:id="rId6">
        <w:r>
          <w:rPr>
            <w:rStyle w:val="InternetLink"/>
          </w:rPr>
          <w:t>January 26, 2024</w:t>
        </w:r>
      </w:hyperlink>
      <w:r>
        <w:rPr>
          <w:rFonts w:ascii="Times New Roman;Times;serif" w:hAnsi="Times New Roman;Times;serif"/>
          <w:b w:val="false"/>
          <w:i w:val="false"/>
          <w:caps w:val="false"/>
          <w:smallCaps w:val="false"/>
          <w:color w:val="000000"/>
          <w:spacing w:val="4"/>
          <w:sz w:val="20"/>
        </w:rPr>
        <w:t xml:space="preserve">, </w:t>
      </w:r>
      <w:hyperlink r:id="rId7">
        <w:r>
          <w:rPr>
            <w:rStyle w:val="InternetLink"/>
          </w:rPr>
          <w:t>February 6, 2024</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March 12, 2024</w:t>
        </w:r>
      </w:hyperlink>
      <w:r>
        <w:rPr>
          <w:rFonts w:ascii="Times New Roman;Times;serif" w:hAnsi="Times New Roman;Times;serif"/>
          <w:b w:val="false"/>
          <w:i w:val="false"/>
          <w:caps w:val="false"/>
          <w:smallCaps w:val="false"/>
          <w:color w:val="000000"/>
          <w:spacing w:val="4"/>
          <w:sz w:val="20"/>
        </w:rPr>
        <w:t xml:space="preserve"> (other than the information furnished pursuant to Item 7.01), and </w:t>
      </w:r>
      <w:hyperlink r:id="rId9">
        <w:r>
          <w:rPr>
            <w:rStyle w:val="InternetLink"/>
          </w:rPr>
          <w:t>March 26, 2024</w:t>
        </w:r>
      </w:hyperlink>
      <w:r>
        <w:rPr>
          <w:rFonts w:ascii="Times New Roman;Times;serif" w:hAnsi="Times New Roman;Times;serif"/>
          <w:b w:val="false"/>
          <w:i w:val="false"/>
          <w:caps w:val="false"/>
          <w:smallCaps w:val="false"/>
          <w:color w:val="000000"/>
          <w:spacing w:val="4"/>
          <w:sz w:val="20"/>
        </w:rPr>
        <w:t xml:space="preserve"> (other than the information furnished pursuant to Item 2.02); and </w:t>
      </w:r>
      <w:r>
        <mc:AlternateContent>
          <mc:Choice Requires="wps">
            <w:drawing>
              <wp:anchor behindDoc="0" distT="7239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pPr>
      <w:hyperlink r:id="rId10">
        <w:r>
          <w:rPr>
            <w:rStyle w:val="InternetLink"/>
          </w:rPr>
          <w:t>the description of our Common Stock contained in our Registration Statement on Form 8/A, dated September 30, 2019, including any amendments or reports filed for the purpose of updating such description.</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 </w:t>
                            </w:r>
                            <w:r>
                              <w:rPr>
                                <w:spacing w:val="4"/>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 </w:t>
                      </w:r>
                      <w:r>
                        <w:rPr>
                          <w:spacing w:val="4"/>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herein or in a document incorporated or deemed to be incorporated by reference in this prospectus or any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obtain any of the filings incorporated by reference into this prospectus or any applicable prospectus supplement through us or from the SEC through the SEC’s website at http://www.sec.gov. Upon request, we will provide, without charge, a copy of any or all of the reports and documents referred to above which have been incorporated by reference into this prospectus or any applicable prospectus supplement. Prospective investors may obtain documents incorporated by reference in this prospectus or any applicable prospectus supplement by requesting them in writing or by telephone from us at our executive offices at: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Aprea Therapeutics,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3805 Old Easton Road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Doylestown, PA 18902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(617) 463-9385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reports and documents incorporated by reference herein may also be found in the “Investor Relations” section of our website at www.aprea.com. The content of our website and any information that is linked to or accessible from our website (other than our filings with the SEC that are incorporated by reference, as set forth under “Incorporation of Certain Documents by Reference”) is not incorporated by reference into this prospectus or any applicable prospectus supplement and you should not consider it a part of this prospectus, any applicable prospectus supplement, or the registration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77" w:after="283"/>
        <w:jc w:val="center"/>
        <w:rPr>
          <w:caps w:val="false"/>
          <w:smallCaps w:val="false"/>
          <w:color w:val="000000"/>
        </w:rPr>
      </w:pPr>
      <w:r>
        <w:rPr>
          <w:caps w:val="false"/>
          <w:smallCaps w:val="false"/>
          <w:color w:val="000000"/>
        </w:rPr>
        <w:drawing>
          <wp:inline distT="0" distB="0" distL="0" distR="0">
            <wp:extent cx="5305425" cy="1181100"/>
            <wp:effectExtent l="0" t="0" r="0" b="0"/>
            <wp:docPr id="7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 descr=""/>
                    <pic:cNvPicPr>
                      <a:picLocks noChangeAspect="1" noChangeArrowheads="1"/>
                    </pic:cNvPicPr>
                  </pic:nvPicPr>
                  <pic:blipFill>
                    <a:blip r:embed="rId11"/>
                    <a:stretch>
                      <a:fillRect/>
                    </a:stretch>
                  </pic:blipFill>
                  <pic:spPr bwMode="auto">
                    <a:xfrm>
                      <a:off x="0" y="0"/>
                      <a:ext cx="5305425"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00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4,389,576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4800" w:after="283"/>
        <w:jc w:val="center"/>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2024</w:t>
      </w:r>
      <w:r>
        <w:rPr>
          <w:rFonts w:ascii="Times New Roman;Times;serif" w:hAnsi="Times New Roman;Times;serif"/>
          <w:b/>
          <w:i w:val="false"/>
          <w:caps w:val="false"/>
          <w:smallCaps w:val="false"/>
          <w:color w:val="000000"/>
          <w:spacing w:val="4"/>
          <w:sz w:val="20"/>
        </w:rPr>
        <w:t xml:space="preserve"> </w:t>
      </w:r>
    </w:p>
    <w:p>
      <w:pPr>
        <w:pStyle w:val="TextBody"/>
        <w:bidi w:val="0"/>
        <w:spacing w:before="53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PART 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an estimate (except in the case of the registration fee) of the amount of fees and expenses to be incurred in connection with the issuance and distribution of the offered securities, other than underwriting discounts and commissions. All amounts are estimates except the SEC registration fee. </w:t>
      </w:r>
    </w:p>
    <w:tbl>
      <w:tblPr>
        <w:tblW w:w="5061" w:type="dxa"/>
        <w:jc w:val="left"/>
        <w:tblInd w:w="1393" w:type="dxa"/>
        <w:tblLayout w:type="fixed"/>
        <w:tblCellMar>
          <w:top w:w="0" w:type="dxa"/>
          <w:left w:w="0" w:type="dxa"/>
          <w:bottom w:w="0" w:type="dxa"/>
          <w:right w:w="0" w:type="dxa"/>
        </w:tblCellMar>
      </w:tblPr>
      <w:tblGrid>
        <w:gridCol w:w="124"/>
        <w:gridCol w:w="3115"/>
        <w:gridCol w:w="109"/>
        <w:gridCol w:w="109"/>
        <w:gridCol w:w="109"/>
        <w:gridCol w:w="226"/>
        <w:gridCol w:w="100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115"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06" w:type="dxa"/>
            <w:tcBorders/>
            <w:shd w:fill="CCEEFF" w:val="clear"/>
            <w:vAlign w:val="center"/>
          </w:tcPr>
          <w:p>
            <w:pPr>
              <w:pStyle w:val="TableContents"/>
              <w:bidi w:val="0"/>
              <w:spacing w:before="0" w:after="283"/>
              <w:jc w:val="right"/>
              <w:rPr/>
            </w:pPr>
            <w:r>
              <w:rPr/>
              <w:t xml:space="preserve">4,117.41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jc w:val="left"/>
              <w:rPr>
                <w:spacing w:val="4"/>
              </w:rPr>
            </w:pPr>
            <w:r>
              <w:rPr>
                <w:spacing w:val="4"/>
              </w:rPr>
              <w:t xml:space="preserve">Legal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115" w:type="dxa"/>
            <w:tcBorders/>
            <w:shd w:fill="CCEEFF" w:val="cle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0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expenses not presently known. </w:t>
      </w:r>
      <w:r>
        <mc:AlternateContent>
          <mc:Choice Requires="wps">
            <w:drawing>
              <wp:anchor behindDoc="0" distT="9779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 of the Delaware General Corporation Law permits a corporation to eliminate the personal liability of its directors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none of our directors shall be personally liable to us or our stockholders for monetary damages for any breach of fiduciary duty as a director, notwithstanding any provision of law imposing such liability, except to the extent that the Delaware General Corporation Law prohibits the elimination or limitation of liability of directors for breaches of fiduciary duty.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we will indemnify each person who was or is a party or is threatened to be made a party or is involved in any 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also provides that we will indemnify any Indemnitee who was or is a party to an action or suit by or in the right of us to procure a judgment in our favor by reason of the fact that the Indemnitee is or was, or has agreed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executive officers and directors. In general, these agreements provide that we will indemnify the director or executive officer to the fullest extent permitted by law for claims arising in his or her capacity as a director or executive officer of our company or in connection with their service at our request for another corporation or entity. The indemnification agreements also provide for procedures that will apply in the event that a director or executive officer makes a claim for indemnification and establish certain presumptions that are favorable to the director or executive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 general liability insurance policy that covers certain liabilities of our directors and officers arising out of claims based on acts or omissions in their capacities as directors or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to be filed by an amendment to this registration statement, will provide for indemnification of us and our directors and officers by the underwriters against certain liabilities under the Securities Act and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the forgoing provisions permit indemnification of directors, executive officers, or persons controlling us for liability arising under the Securities Act of 1933, as amended, or the Securities Act, we have been informed that, in the opinion of the Securities and Exchange Commission, such indemnification is against public policy as expressed in the Securities Act and is therefore unenforceable.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w:t>
      </w:r>
      <w:r>
        <w:rPr>
          <w:rFonts w:ascii="Times New Roman;Times;serif" w:hAnsi="Times New Roman;Times;serif"/>
          <w:b/>
          <w:i/>
          <w:caps w:val="false"/>
          <w:smallCaps w:val="false"/>
          <w:color w:val="000000"/>
          <w:spacing w:val="-4"/>
          <w:sz w:val="20"/>
        </w:rPr>
        <w:t>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56"/>
        <w:gridCol w:w="109"/>
        <w:gridCol w:w="109"/>
        <w:gridCol w:w="7459"/>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856"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Exhibit  </w:t>
            </w:r>
            <w:r>
              <w:rPr/>
              <w:br/>
            </w:r>
            <w:r>
              <w:rPr>
                <w:spacing w:val="-3"/>
              </w:rPr>
              <w:t xml:space="preserve">No.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59"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6" w:type="dxa"/>
            <w:tcBorders/>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9"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"https://www.sec.gov/Archives/edgar/data/1781983/000110465919053259/a19-12476_12ex3d1.htm" \l "Exhibit3_1_102107"</w:instrText>
            </w:r>
            <w:r>
              <w:rPr>
                <w:rStyle w:val="InternetLink"/>
                <w:spacing w:val="4"/>
              </w:rPr>
              <w:fldChar w:fldCharType="separate"/>
            </w:r>
            <w:r>
              <w:rPr>
                <w:rStyle w:val="InternetLink"/>
                <w:spacing w:val="4"/>
              </w:rPr>
              <w:t>Amended and Restated Certificate of Incorporation of the Registrant (previously filed in the Company’s Current Report on Form 8-K dated October 7, 2019).</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6" w:type="dxa"/>
            <w:tcBorders/>
            <w:tcMar>
              <w:bottom w:w="0" w:type="dxa"/>
            </w:tcMar>
            <w:vAlign w:val="center"/>
          </w:tcPr>
          <w:p>
            <w:pPr>
              <w:pStyle w:val="TableContents"/>
              <w:bidi w:val="0"/>
              <w:spacing w:before="0" w:after="0"/>
              <w:jc w:val="center"/>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9" w:type="dxa"/>
            <w:tcBorders/>
            <w:tcMar>
              <w:bottom w:w="0" w:type="dxa"/>
            </w:tcMar>
            <w:vAlign w:val="center"/>
          </w:tcPr>
          <w:p>
            <w:pPr>
              <w:pStyle w:val="TableContents"/>
              <w:bidi w:val="0"/>
              <w:spacing w:before="0" w:after="283"/>
              <w:jc w:val="left"/>
              <w:rPr/>
            </w:pPr>
            <w:hyperlink r:id="rId12">
              <w:r>
                <w:rPr>
                  <w:rStyle w:val="InternetLink"/>
                </w:rPr>
                <w:t>Certificate of Amendment to Amended and Restated Certificate of Incorporation of Aprea Therapeutics, Inc. (incorporated by reference to Exhibit 3.1 to the Current Report on Form 8-K filed on February 13,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6" w:type="dxa"/>
            <w:tcBorders/>
            <w:tcMar>
              <w:bottom w:w="0" w:type="dxa"/>
            </w:tcMar>
            <w:vAlign w:val="center"/>
          </w:tcPr>
          <w:p>
            <w:pPr>
              <w:pStyle w:val="TableContents"/>
              <w:bidi w:val="0"/>
              <w:spacing w:before="0" w:after="0"/>
              <w:jc w:val="center"/>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9" w:type="dxa"/>
            <w:tcBorders/>
            <w:tcMar>
              <w:bottom w:w="0" w:type="dxa"/>
            </w:tcMar>
            <w:vAlign w:val="center"/>
          </w:tcPr>
          <w:p>
            <w:pPr>
              <w:pStyle w:val="TableContents"/>
              <w:bidi w:val="0"/>
              <w:spacing w:before="0" w:after="283"/>
              <w:jc w:val="left"/>
              <w:rPr/>
            </w:pPr>
            <w:hyperlink r:id="rId13">
              <w:r>
                <w:rPr>
                  <w:rStyle w:val="InternetLink"/>
                </w:rPr>
                <w:t>Certificate of Designation of Series A Non-Voting Series A Convertible Preferred Stock (incorporated by reference to Exhibit 3.1 to the Current Report on Form 8-K filed on May 17,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6" w:type="dxa"/>
            <w:tcBorders/>
            <w:tcMar>
              <w:bottom w:w="0" w:type="dxa"/>
            </w:tcMar>
            <w:vAlign w:val="center"/>
          </w:tcPr>
          <w:p>
            <w:pPr>
              <w:pStyle w:val="TableContents"/>
              <w:bidi w:val="0"/>
              <w:spacing w:before="0" w:after="0"/>
              <w:jc w:val="center"/>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9" w:type="dxa"/>
            <w:tcBorders/>
            <w:tcMar>
              <w:bottom w:w="0" w:type="dxa"/>
            </w:tcMar>
            <w:vAlign w:val="center"/>
          </w:tcPr>
          <w:p>
            <w:pPr>
              <w:pStyle w:val="TableContents"/>
              <w:bidi w:val="0"/>
              <w:spacing w:before="0" w:after="0"/>
              <w:jc w:val="left"/>
              <w:rPr/>
            </w:pPr>
            <w:hyperlink r:id="rId14">
              <w:r>
                <w:rPr>
                  <w:rStyle w:val="InternetLink"/>
                  <w:spacing w:val="4"/>
                </w:rPr>
                <w:t>Amended and Restated Bylaws of the Registrant (previously filed in the Company’s Quarterly Report on Form 10-Q for the quarter ended September 30,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6" w:type="dxa"/>
            <w:tcBorders/>
            <w:tcMar>
              <w:bottom w:w="0" w:type="dxa"/>
            </w:tcMar>
            <w:vAlign w:val="center"/>
          </w:tcPr>
          <w:p>
            <w:pPr>
              <w:pStyle w:val="TableContents"/>
              <w:bidi w:val="0"/>
              <w:spacing w:before="0" w:after="0"/>
              <w:jc w:val="center"/>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9" w:type="dxa"/>
            <w:tcBorders/>
            <w:tcMar>
              <w:bottom w:w="0" w:type="dxa"/>
            </w:tcMar>
            <w:vAlign w:val="center"/>
          </w:tcPr>
          <w:p>
            <w:pPr>
              <w:pStyle w:val="TableContents"/>
              <w:bidi w:val="0"/>
              <w:spacing w:before="0" w:after="0"/>
              <w:jc w:val="left"/>
              <w:rPr/>
            </w:pPr>
            <w:hyperlink r:id="rId15">
              <w:r>
                <w:rPr>
                  <w:rStyle w:val="InternetLink"/>
                  <w:spacing w:val="4"/>
                </w:rPr>
                <w:t>Form of Pre-Funded Warrant (March 2024 Offering) (incorporated by reference to Exhibit 4.1 to the Current Report on Form 8-k filed on March 12,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6" w:type="dxa"/>
            <w:tcBorders/>
            <w:tcMar>
              <w:bottom w:w="0" w:type="dxa"/>
            </w:tcMar>
            <w:vAlign w:val="center"/>
          </w:tcPr>
          <w:p>
            <w:pPr>
              <w:pStyle w:val="TableContents"/>
              <w:bidi w:val="0"/>
              <w:spacing w:before="0" w:after="0"/>
              <w:jc w:val="center"/>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9" w:type="dxa"/>
            <w:tcBorders/>
            <w:tcMar>
              <w:bottom w:w="0" w:type="dxa"/>
            </w:tcMar>
            <w:vAlign w:val="center"/>
          </w:tcPr>
          <w:p>
            <w:pPr>
              <w:pStyle w:val="TableContents"/>
              <w:bidi w:val="0"/>
              <w:spacing w:before="0" w:after="0"/>
              <w:jc w:val="left"/>
              <w:rPr/>
            </w:pPr>
            <w:hyperlink r:id="rId16">
              <w:r>
                <w:rPr>
                  <w:rStyle w:val="InternetLink"/>
                  <w:spacing w:val="4"/>
                </w:rPr>
                <w:t>Form of Tranche A Warrant (March 2024 Offering) (incorporated by reference to Exhibit 4.2 to the Current Report on Form 8-k filed on March 12,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6" w:type="dxa"/>
            <w:tcBorders/>
            <w:tcMar>
              <w:bottom w:w="0" w:type="dxa"/>
            </w:tcMar>
            <w:vAlign w:val="center"/>
          </w:tcPr>
          <w:p>
            <w:pPr>
              <w:pStyle w:val="TableContents"/>
              <w:bidi w:val="0"/>
              <w:spacing w:before="0" w:after="0"/>
              <w:jc w:val="center"/>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9" w:type="dxa"/>
            <w:tcBorders/>
            <w:tcMar>
              <w:bottom w:w="0" w:type="dxa"/>
            </w:tcMar>
            <w:vAlign w:val="center"/>
          </w:tcPr>
          <w:p>
            <w:pPr>
              <w:pStyle w:val="TableContents"/>
              <w:bidi w:val="0"/>
              <w:spacing w:before="0" w:after="0"/>
              <w:jc w:val="left"/>
              <w:rPr/>
            </w:pPr>
            <w:hyperlink r:id="rId17">
              <w:r>
                <w:rPr>
                  <w:rStyle w:val="InternetLink"/>
                  <w:spacing w:val="4"/>
                </w:rPr>
                <w:t>Form of Tranche B Warrant (March 2024 Offering) (incorporated by reference to Exhibit 4.3 to the Current Report on Form 8-k filed on March 12,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854"/>
        <w:gridCol w:w="109"/>
        <w:gridCol w:w="109"/>
        <w:gridCol w:w="7461"/>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854"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Exhibit  </w:t>
            </w:r>
            <w:r>
              <w:rPr/>
              <w:br/>
            </w:r>
            <w:r>
              <w:rPr>
                <w:spacing w:val="-3"/>
              </w:rPr>
              <w:t xml:space="preserve">No.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61"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4" w:type="dxa"/>
            <w:tcBorders/>
            <w:tcMar>
              <w:bottom w:w="0" w:type="dxa"/>
            </w:tcMar>
            <w:vAlign w:val="center"/>
          </w:tcPr>
          <w:p>
            <w:pPr>
              <w:pStyle w:val="TableContents"/>
              <w:bidi w:val="0"/>
              <w:spacing w:before="0" w:after="0"/>
              <w:jc w:val="center"/>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1" w:type="dxa"/>
            <w:tcBorders/>
            <w:tcMar>
              <w:bottom w:w="0" w:type="dxa"/>
            </w:tcMar>
            <w:vAlign w:val="center"/>
          </w:tcPr>
          <w:p>
            <w:pPr>
              <w:pStyle w:val="TableContents"/>
              <w:bidi w:val="0"/>
              <w:spacing w:before="0" w:after="0"/>
              <w:jc w:val="left"/>
              <w:rPr/>
            </w:pPr>
            <w:hyperlink w:anchor="tm2410156d2_ex5-1.htm">
              <w:r>
                <w:rPr>
                  <w:rStyle w:val="InternetLink"/>
                  <w:spacing w:val="4"/>
                </w:rPr>
                <w:t>Opinion of DLA Piper LLP (US).</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4" w:type="dxa"/>
            <w:tcBorders/>
            <w:tcMar>
              <w:bottom w:w="0" w:type="dxa"/>
            </w:tcMar>
            <w:vAlign w:val="center"/>
          </w:tcPr>
          <w:p>
            <w:pPr>
              <w:pStyle w:val="TableContents"/>
              <w:bidi w:val="0"/>
              <w:spacing w:before="0" w:after="0"/>
              <w:jc w:val="both"/>
              <w:rPr>
                <w:spacing w:val="4"/>
              </w:rPr>
            </w:pPr>
            <w:r>
              <w:rPr>
                <w:spacing w:val="4"/>
              </w:rPr>
              <w:t xml:space="preserve">10.1*+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1" w:type="dxa"/>
            <w:tcBorders/>
            <w:tcMar>
              <w:bottom w:w="0" w:type="dxa"/>
            </w:tcMar>
            <w:vAlign w:val="center"/>
          </w:tcPr>
          <w:p>
            <w:pPr>
              <w:pStyle w:val="TableContents"/>
              <w:bidi w:val="0"/>
              <w:spacing w:before="0" w:after="283"/>
              <w:jc w:val="left"/>
              <w:rPr/>
            </w:pPr>
            <w:hyperlink r:id="rId18">
              <w:r>
                <w:rPr>
                  <w:rStyle w:val="InternetLink"/>
                </w:rPr>
                <w:t>Form of Securities Purchase Agreement, dated as of March 11, 2024, by and between Aprea Therapeutics, Inc. and the purchasers named therein (incorporated by reference to Exhibit 10.1 to the Current Report on Form 8-k filed on March 12,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4" w:type="dxa"/>
            <w:tcBorders/>
            <w:tcMar>
              <w:bottom w:w="0" w:type="dxa"/>
            </w:tcMar>
            <w:vAlign w:val="center"/>
          </w:tcPr>
          <w:p>
            <w:pPr>
              <w:pStyle w:val="TableContents"/>
              <w:bidi w:val="0"/>
              <w:spacing w:before="0" w:after="0"/>
              <w:jc w:val="center"/>
              <w:rPr>
                <w:spacing w:val="4"/>
              </w:rPr>
            </w:pPr>
            <w:r>
              <w:rPr>
                <w:spacing w:val="4"/>
              </w:rPr>
              <w:t xml:space="preserve">10.2* 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1" w:type="dxa"/>
            <w:tcBorders/>
            <w:tcMar>
              <w:bottom w:w="0" w:type="dxa"/>
            </w:tcMar>
            <w:vAlign w:val="center"/>
          </w:tcPr>
          <w:p>
            <w:pPr>
              <w:pStyle w:val="TableContents"/>
              <w:bidi w:val="0"/>
              <w:spacing w:before="0" w:after="283"/>
              <w:jc w:val="left"/>
              <w:rPr/>
            </w:pPr>
            <w:hyperlink r:id="rId19">
              <w:r>
                <w:rPr>
                  <w:rStyle w:val="InternetLink"/>
                </w:rPr>
                <w:t>Form of Registration Rights Agreement, dated as of March 11, 2024, by and between Aprea Therapeutics, Inc. and the purchasers (incorporated by reference to Exhibit 10.2 to the Current Report on Form 8-k filed on March 12,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4" w:type="dxa"/>
            <w:tcBorders/>
            <w:tcMar>
              <w:bottom w:w="0" w:type="dxa"/>
            </w:tcMar>
            <w:vAlign w:val="center"/>
          </w:tcPr>
          <w:p>
            <w:pPr>
              <w:pStyle w:val="TableContents"/>
              <w:bidi w:val="0"/>
              <w:spacing w:before="0" w:after="0"/>
              <w:jc w:val="center"/>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1" w:type="dxa"/>
            <w:tcBorders/>
            <w:tcMar>
              <w:bottom w:w="0" w:type="dxa"/>
            </w:tcMar>
            <w:vAlign w:val="center"/>
          </w:tcPr>
          <w:p>
            <w:pPr>
              <w:pStyle w:val="TableContents"/>
              <w:bidi w:val="0"/>
              <w:spacing w:before="0" w:after="0"/>
              <w:jc w:val="left"/>
              <w:rPr/>
            </w:pPr>
            <w:hyperlink w:anchor="tm2410156d2_ex5-1.htm">
              <w:r>
                <w:rPr>
                  <w:rStyle w:val="InternetLink"/>
                  <w:spacing w:val="4"/>
                </w:rPr>
                <w:t>Consent of DLA Piper LLP (US)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4" w:type="dxa"/>
            <w:tcBorders/>
            <w:tcMar>
              <w:bottom w:w="0" w:type="dxa"/>
            </w:tcMar>
            <w:vAlign w:val="center"/>
          </w:tcPr>
          <w:p>
            <w:pPr>
              <w:pStyle w:val="TableContents"/>
              <w:bidi w:val="0"/>
              <w:spacing w:before="0" w:after="0"/>
              <w:jc w:val="center"/>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1" w:type="dxa"/>
            <w:tcBorders/>
            <w:tcMar>
              <w:bottom w:w="0" w:type="dxa"/>
            </w:tcMar>
            <w:vAlign w:val="center"/>
          </w:tcPr>
          <w:p>
            <w:pPr>
              <w:pStyle w:val="TableContents"/>
              <w:bidi w:val="0"/>
              <w:spacing w:before="0" w:after="0"/>
              <w:jc w:val="left"/>
              <w:rPr/>
            </w:pPr>
            <w:hyperlink w:anchor="tm2410156d2_ex23-2.htm">
              <w:r>
                <w:rPr>
                  <w:rStyle w:val="InternetLink"/>
                  <w:spacing w:val="4"/>
                </w:rPr>
                <w:t xml:space="preserve">Consent of EisnerAmper LLP.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4" w:type="dxa"/>
            <w:tcBorders/>
            <w:tcMar>
              <w:bottom w:w="0" w:type="dxa"/>
            </w:tcMar>
            <w:vAlign w:val="center"/>
          </w:tcPr>
          <w:p>
            <w:pPr>
              <w:pStyle w:val="TableContents"/>
              <w:bidi w:val="0"/>
              <w:spacing w:before="0" w:after="0"/>
              <w:jc w:val="center"/>
              <w:rPr/>
            </w:pPr>
            <w:r>
              <w:rPr>
                <w:spacing w:val="4"/>
              </w:rPr>
              <w:t>23.3  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1" w:type="dxa"/>
            <w:tcBorders/>
            <w:tcMar>
              <w:bottom w:w="0" w:type="dxa"/>
            </w:tcMar>
            <w:vAlign w:val="center"/>
          </w:tcPr>
          <w:p>
            <w:pPr>
              <w:pStyle w:val="TableContents"/>
              <w:bidi w:val="0"/>
              <w:spacing w:before="0" w:after="0"/>
              <w:jc w:val="left"/>
              <w:rPr/>
            </w:pPr>
            <w:hyperlink w:anchor="tm2410156d2_ex23-3.htm">
              <w:r>
                <w:rPr>
                  <w:rStyle w:val="InternetLink"/>
                  <w:spacing w:val="4"/>
                </w:rPr>
                <w:t>Consent of Ernst &amp; Young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4" w:type="dxa"/>
            <w:tcBorders/>
            <w:tcMar>
              <w:bottom w:w="0" w:type="dxa"/>
            </w:tcMar>
            <w:vAlign w:val="center"/>
          </w:tcPr>
          <w:p>
            <w:pPr>
              <w:pStyle w:val="TableContents"/>
              <w:bidi w:val="0"/>
              <w:spacing w:before="0" w:after="0"/>
              <w:jc w:val="center"/>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1" w:type="dxa"/>
            <w:tcBorders/>
            <w:tcMar>
              <w:bottom w:w="0" w:type="dxa"/>
            </w:tcMar>
            <w:vAlign w:val="center"/>
          </w:tcPr>
          <w:p>
            <w:pPr>
              <w:pStyle w:val="TableContents"/>
              <w:bidi w:val="0"/>
              <w:spacing w:before="0" w:after="0"/>
              <w:jc w:val="left"/>
              <w:rPr/>
            </w:pPr>
            <w:hyperlink w:anchor="tSIG">
              <w:r>
                <w:rPr>
                  <w:rStyle w:val="InternetLink"/>
                  <w:spacing w:val="4"/>
                </w:rPr>
                <w:t>Power of Attorney (included in Signature Page</w:t>
              </w:r>
            </w:hyperlink>
            <w:r>
              <w:rPr>
                <w:spacing w:val="4"/>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4" w:type="dxa"/>
            <w:tcBorders/>
            <w:tcMar>
              <w:bottom w:w="0" w:type="dxa"/>
            </w:tcMar>
            <w:vAlign w:val="center"/>
          </w:tcPr>
          <w:p>
            <w:pPr>
              <w:pStyle w:val="TableContents"/>
              <w:bidi w:val="0"/>
              <w:spacing w:before="0" w:after="0"/>
              <w:jc w:val="center"/>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1" w:type="dxa"/>
            <w:tcBorders/>
            <w:tcMar>
              <w:bottom w:w="0" w:type="dxa"/>
            </w:tcMar>
            <w:vAlign w:val="center"/>
          </w:tcPr>
          <w:p>
            <w:pPr>
              <w:pStyle w:val="TableContents"/>
              <w:bidi w:val="0"/>
              <w:spacing w:before="0" w:after="0"/>
              <w:jc w:val="left"/>
              <w:rPr/>
            </w:pPr>
            <w:hyperlink w:anchor="tm2410156d2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filed. </w:t>
      </w:r>
      <w:r>
        <mc:AlternateContent>
          <mc:Choice Requires="wps">
            <w:drawing>
              <wp:anchor behindDoc="0" distT="1143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Schedules and exhibits have been omitted from this exhibit pursuant to Item 601(a)(5) of Regulation S-K. The registrant hereby undertakes to furnish copies of any of the omitted schedules and exhibits upon request by the U.S. Securities and Exchange Commission. </w:t>
      </w:r>
      <w:r>
        <mc:AlternateContent>
          <mc:Choice Requires="wps">
            <w:drawing>
              <wp:anchor behindDoc="0" distT="635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w:t>
      </w:r>
      <w:r>
        <w:rPr>
          <w:rFonts w:ascii="Times New Roman;Times;serif" w:hAnsi="Times New Roman;Times;serif"/>
          <w:b/>
          <w:i/>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1430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w:t>
      </w:r>
      <w:r>
        <mc:AlternateContent>
          <mc:Choice Requires="wps">
            <w:drawing>
              <wp:anchor behindDoc="0" distT="114300" distB="0" distL="508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r>
        <mc:AlternateContent>
          <mc:Choice Requires="wps">
            <w:drawing>
              <wp:anchor behindDoc="0" distT="114300" distB="0" distL="508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this registration statement or any material change to such information in this registration statement; </w:t>
      </w:r>
      <w:r>
        <mc:AlternateContent>
          <mc:Choice Requires="wps">
            <w:drawing>
              <wp:anchor behindDoc="0" distT="114300" distB="0" distL="508000" distR="0" simplePos="0" locked="0" layoutInCell="1" allowOverlap="1" relativeHeight="79">
                <wp:simplePos x="0" y="0"/>
                <wp:positionH relativeFrom="column">
                  <wp:align>left</wp:align>
                </wp:positionH>
                <wp:positionV relativeFrom="line">
                  <wp:align>top</wp:align>
                </wp:positionV>
                <wp:extent cx="254000" cy="525780"/>
                <wp:effectExtent l="0" t="0" r="0" b="0"/>
                <wp:wrapSquare wrapText="right"/>
                <wp:docPr id="78" name="Frame7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 </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1430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0" distB="0" distL="254000" distR="0" simplePos="0" locked="0" layoutInCell="1" allowOverlap="1" relativeHeight="81">
                <wp:simplePos x="0" y="0"/>
                <wp:positionH relativeFrom="column">
                  <wp:align>left</wp:align>
                </wp:positionH>
                <wp:positionV relativeFrom="line">
                  <wp:posOffset>635</wp:posOffset>
                </wp:positionV>
                <wp:extent cx="254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to any purchaser: </w:t>
      </w:r>
      <w:r>
        <mc:AlternateContent>
          <mc:Choice Requires="wps">
            <w:drawing>
              <wp:anchor behindDoc="0" distT="10287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102870" distB="0" distL="508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102870" distB="0" distL="508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to any purchaser in the initial distribution of the securities: </w:t>
      </w:r>
      <w:r>
        <mc:AlternateContent>
          <mc:Choice Requires="wps">
            <w:drawing>
              <wp:anchor behindDoc="0" distT="10160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1600" distB="0" distL="508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1600" distB="0" distL="508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their securities provided by or on behalf of the undersigned Registrant; and </w:t>
      </w:r>
      <w:r>
        <mc:AlternateContent>
          <mc:Choice Requires="wps">
            <w:drawing>
              <wp:anchor behindDoc="0" distT="101600" distB="0" distL="508000" distR="0" simplePos="0" locked="0" layoutInCell="1" allowOverlap="1" relativeHeight="88">
                <wp:simplePos x="0" y="0"/>
                <wp:positionH relativeFrom="column">
                  <wp:align>left</wp:align>
                </wp:positionH>
                <wp:positionV relativeFrom="line">
                  <wp:align>top</wp:align>
                </wp:positionV>
                <wp:extent cx="254000" cy="525780"/>
                <wp:effectExtent l="0" t="0" r="0" b="0"/>
                <wp:wrapSquare wrapText="right"/>
                <wp:docPr id="87" name="Frame8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1600" distB="0" distL="508000" distR="0" simplePos="0" locked="0" layoutInCell="1" allowOverlap="1" relativeHeight="89">
                <wp:simplePos x="0" y="0"/>
                <wp:positionH relativeFrom="column">
                  <wp:align>left</wp:align>
                </wp:positionH>
                <wp:positionV relativeFrom="line">
                  <wp:align>top</wp:align>
                </wp:positionV>
                <wp:extent cx="254000" cy="525780"/>
                <wp:effectExtent l="0" t="0" r="0" b="0"/>
                <wp:wrapSquare wrapText="right"/>
                <wp:docPr id="88" name="Frame8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further undertakes that, for the purposes of determining any liability under the Securities Act, each filing of the annual reports of the Registrant pursuant to Section 13(a) or Section 15(d) of the Exchange Act that are incorporated by reference in this registration statement, if any, shall be deemed to be a new registration statement relating to the securities offered herein, and the offering of such securities at that time shall be deemed to be the initial bona fide offering thereof. </w:t>
      </w:r>
      <w:r>
        <mc:AlternateContent>
          <mc:Choice Requires="wps">
            <w:drawing>
              <wp:anchor behindDoc="0" distT="1016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officers and controlling persons of the Registrant pursuant to the provisions described under Item 15 of this registration statement, or otherwise, the Registrant has been advised that in the opinion of the </w:t>
      </w:r>
      <w:r>
        <mc:AlternateContent>
          <mc:Choice Requires="wps">
            <w:drawing>
              <wp:anchor behindDoc="0" distT="10160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the Securities Act and will be governed by the final adjudication of such issue.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w:t>
      </w:r>
      <w:r>
        <mc:AlternateContent>
          <mc:Choice Requires="wps">
            <w:drawing>
              <wp:anchor behindDoc="0" distT="1016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 </w:t>
      </w:r>
      <w:r>
        <mc:AlternateContent>
          <mc:Choice Requires="wps">
            <w:drawing>
              <wp:anchor behindDoc="0" distT="10160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Act.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SIG"/>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Doylestown, State of Pennsylvania, on April 3, 2024. </w:t>
      </w:r>
    </w:p>
    <w:p>
      <w:pPr>
        <w:pStyle w:val="TextBody"/>
        <w:bidi w:val="0"/>
        <w:spacing w:lineRule="atLeast" w:line="240" w:before="16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APREA THERAPEUTICS,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Oren Gilad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3048000" distR="0" simplePos="0" locked="0" layoutInCell="1" allowOverlap="1" relativeHeight="95">
                <wp:simplePos x="0" y="0"/>
                <wp:positionH relativeFrom="column">
                  <wp:align>left</wp:align>
                </wp:positionH>
                <wp:positionV relativeFrom="line">
                  <wp:align>top</wp:align>
                </wp:positionV>
                <wp:extent cx="254000" cy="525780"/>
                <wp:effectExtent l="0" t="0" r="0" b="0"/>
                <wp:wrapSquare wrapText="right"/>
                <wp:docPr id="94" name="Frame9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Oren Gilad, Ph.D.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President, Chief Executive Officer and Director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(Principal Executive Officer) </w:t>
      </w:r>
    </w:p>
    <w:p>
      <w:pPr>
        <w:pStyle w:val="TextBody"/>
        <w:bidi w:val="0"/>
        <w:spacing w:lineRule="atLeast" w:line="240" w:before="28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John P. Hamill</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John P. Hamill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Senior Vice President and Chief Financial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(Principal Financial Officer and Principal Accounting Officer)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the undersigned directors and officers of Aprea Therapeutics, Inc. (the Company), hereby severally constitute and appoint Oren Gilad and John Hamill, and each of them singly, our true and lawful attorneys, with full power to them, and to each of them singly, to sign for us and in our names in the capacities indicated below, the registration statement on Form S-3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 This Power of Attorney does not revoke any power of attorney previously granted by the undersigned, or any of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indicated on the date indicated: </w:t>
      </w:r>
    </w:p>
    <w:tbl>
      <w:tblPr>
        <w:tblW w:w="8812" w:type="dxa"/>
        <w:jc w:val="left"/>
        <w:tblInd w:w="1393" w:type="dxa"/>
        <w:tblLayout w:type="fixed"/>
        <w:tblCellMar>
          <w:top w:w="0" w:type="dxa"/>
          <w:left w:w="0" w:type="dxa"/>
          <w:bottom w:w="28" w:type="dxa"/>
          <w:right w:w="0" w:type="dxa"/>
        </w:tblCellMar>
      </w:tblPr>
      <w:tblGrid>
        <w:gridCol w:w="124"/>
        <w:gridCol w:w="1893"/>
        <w:gridCol w:w="109"/>
        <w:gridCol w:w="109"/>
        <w:gridCol w:w="4785"/>
        <w:gridCol w:w="109"/>
        <w:gridCol w:w="109"/>
        <w:gridCol w:w="141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8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8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3" w:type="dxa"/>
            <w:tcBorders/>
            <w:tcMar>
              <w:bottom w:w="0" w:type="dxa"/>
            </w:tcMar>
            <w:vAlign w:val="center"/>
          </w:tcPr>
          <w:p>
            <w:pPr>
              <w:pStyle w:val="TableContents"/>
              <w:bidi w:val="0"/>
              <w:spacing w:before="0" w:after="0"/>
              <w:jc w:val="left"/>
              <w:rPr/>
            </w:pPr>
            <w:r>
              <w:rPr>
                <w:spacing w:val="4"/>
              </w:rPr>
              <w:t>/s/ Oren Gilad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Oren Gilad,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85" w:type="dxa"/>
            <w:tcBorders/>
            <w:tcMar>
              <w:bottom w:w="0" w:type="dxa"/>
            </w:tcMar>
            <w:vAlign w:val="center"/>
          </w:tcPr>
          <w:p>
            <w:pPr>
              <w:pStyle w:val="TableContents"/>
              <w:bidi w:val="0"/>
              <w:spacing w:before="0" w:after="283"/>
              <w:jc w:val="left"/>
              <w:rPr/>
            </w:pPr>
            <w:r>
              <w:rPr>
                <w:spacing w:val="4"/>
              </w:rPr>
              <w:t>President, Chief Executive Officer and Director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9" w:type="dxa"/>
            <w:tcBorders/>
            <w:tcMar>
              <w:bottom w:w="0" w:type="dxa"/>
            </w:tcMar>
            <w:vAlign w:val="center"/>
          </w:tcPr>
          <w:p>
            <w:pPr>
              <w:pStyle w:val="TableContents"/>
              <w:bidi w:val="0"/>
              <w:spacing w:before="0" w:after="283"/>
              <w:jc w:val="left"/>
              <w:rPr>
                <w:spacing w:val="4"/>
              </w:rPr>
            </w:pPr>
            <w:r>
              <w:rPr>
                <w:spacing w:val="4"/>
              </w:rPr>
              <w:t xml:space="preserve">April 3, 2024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3" w:type="dxa"/>
            <w:tcBorders/>
            <w:tcMar>
              <w:top w:w="28" w:type="dxa"/>
              <w:left w:w="28" w:type="dxa"/>
              <w:right w:w="28" w:type="dxa"/>
            </w:tcMar>
            <w:vAlign w:val="center"/>
          </w:tcPr>
          <w:p>
            <w:pPr>
              <w:pStyle w:val="TableContents"/>
              <w:bidi w:val="0"/>
              <w:spacing w:before="0" w:after="0"/>
              <w:jc w:val="left"/>
              <w:rPr/>
            </w:pPr>
            <w:r>
              <w:rPr>
                <w:spacing w:val="4"/>
              </w:rPr>
              <w:t>/s/ John P. Hamill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John P. Hamill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85" w:type="dxa"/>
            <w:tcBorders/>
            <w:tcMar>
              <w:top w:w="28" w:type="dxa"/>
              <w:left w:w="28" w:type="dxa"/>
              <w:right w:w="28" w:type="dxa"/>
            </w:tcMar>
            <w:vAlign w:val="center"/>
          </w:tcPr>
          <w:p>
            <w:pPr>
              <w:pStyle w:val="TableContents"/>
              <w:bidi w:val="0"/>
              <w:spacing w:before="0" w:after="283"/>
              <w:jc w:val="left"/>
              <w:rPr/>
            </w:pPr>
            <w:r>
              <w:rPr>
                <w:spacing w:val="4"/>
              </w:rPr>
              <w:t xml:space="preserve">Senior Vice President and Chief Financial Officer </w:t>
            </w:r>
            <w:r>
              <w:rPr/>
              <w:br/>
            </w:r>
            <w:r>
              <w:rPr>
                <w:spacing w:val="4"/>
              </w:rPr>
              <w:t>(Principal Financial Officer and</w:t>
            </w:r>
            <w:r>
              <w:rPr/>
              <w:t xml:space="preserve"> </w:t>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9"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April 3, 2024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535" w:type="dxa"/>
        <w:jc w:val="left"/>
        <w:tblInd w:w="1393" w:type="dxa"/>
        <w:tblLayout w:type="fixed"/>
        <w:tblCellMar>
          <w:top w:w="0" w:type="dxa"/>
          <w:left w:w="0" w:type="dxa"/>
          <w:bottom w:w="28" w:type="dxa"/>
          <w:right w:w="0" w:type="dxa"/>
        </w:tblCellMar>
      </w:tblPr>
      <w:tblGrid>
        <w:gridCol w:w="124"/>
        <w:gridCol w:w="3374"/>
        <w:gridCol w:w="109"/>
        <w:gridCol w:w="109"/>
        <w:gridCol w:w="974"/>
        <w:gridCol w:w="109"/>
        <w:gridCol w:w="109"/>
        <w:gridCol w:w="1473"/>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3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74" w:type="dxa"/>
            <w:tcBorders/>
            <w:tcMar>
              <w:bottom w:w="0" w:type="dxa"/>
            </w:tcMar>
            <w:vAlign w:val="center"/>
          </w:tcPr>
          <w:p>
            <w:pPr>
              <w:pStyle w:val="TableContents"/>
              <w:bidi w:val="0"/>
              <w:spacing w:before="0" w:after="0"/>
              <w:jc w:val="left"/>
              <w:rPr/>
            </w:pPr>
            <w:r>
              <w:rPr>
                <w:spacing w:val="4"/>
              </w:rPr>
              <w:t>/s/ Marc Duey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Marc Duey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3" w:type="dxa"/>
            <w:tcBorders/>
            <w:tcMar>
              <w:bottom w:w="0" w:type="dxa"/>
            </w:tcMar>
            <w:vAlign w:val="center"/>
          </w:tcPr>
          <w:p>
            <w:pPr>
              <w:pStyle w:val="TableContents"/>
              <w:bidi w:val="0"/>
              <w:spacing w:before="0" w:after="283"/>
              <w:jc w:val="left"/>
              <w:rPr>
                <w:spacing w:val="4"/>
              </w:rPr>
            </w:pPr>
            <w:r>
              <w:rPr>
                <w:spacing w:val="4"/>
              </w:rPr>
              <w:t xml:space="preserve">April 3, 2024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74" w:type="dxa"/>
            <w:tcBorders/>
            <w:tcMar>
              <w:top w:w="28" w:type="dxa"/>
              <w:left w:w="28" w:type="dxa"/>
              <w:right w:w="28" w:type="dxa"/>
            </w:tcMar>
            <w:vAlign w:val="center"/>
          </w:tcPr>
          <w:p>
            <w:pPr>
              <w:pStyle w:val="TableContents"/>
              <w:bidi w:val="0"/>
              <w:spacing w:before="0" w:after="0"/>
              <w:jc w:val="left"/>
              <w:rPr/>
            </w:pPr>
            <w:r>
              <w:rPr>
                <w:spacing w:val="4"/>
              </w:rPr>
              <w:t>/s/ Michael Grissinger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Michael Grissinger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April 3, 2024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74" w:type="dxa"/>
            <w:tcBorders/>
            <w:tcMar>
              <w:top w:w="28" w:type="dxa"/>
              <w:left w:w="28" w:type="dxa"/>
              <w:right w:w="28" w:type="dxa"/>
            </w:tcMar>
            <w:vAlign w:val="center"/>
          </w:tcPr>
          <w:p>
            <w:pPr>
              <w:pStyle w:val="TableContents"/>
              <w:bidi w:val="0"/>
              <w:spacing w:before="0" w:after="0"/>
              <w:jc w:val="left"/>
              <w:rPr/>
            </w:pPr>
            <w:r>
              <w:rPr>
                <w:spacing w:val="4"/>
              </w:rPr>
              <w:t>/s/ John B. Henneman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John B. Henneman III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April 3, 2024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74" w:type="dxa"/>
            <w:tcBorders/>
            <w:tcMar>
              <w:top w:w="28" w:type="dxa"/>
              <w:left w:w="28" w:type="dxa"/>
              <w:right w:w="28" w:type="dxa"/>
            </w:tcMar>
            <w:vAlign w:val="center"/>
          </w:tcPr>
          <w:p>
            <w:pPr>
              <w:pStyle w:val="TableContents"/>
              <w:bidi w:val="0"/>
              <w:spacing w:before="0" w:after="0"/>
              <w:jc w:val="left"/>
              <w:rPr/>
            </w:pPr>
            <w:r>
              <w:rPr>
                <w:spacing w:val="4"/>
              </w:rPr>
              <w:t>/s/ Rifat Pamukcu</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Rifat Pamukcu,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April 3, 2024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74" w:type="dxa"/>
            <w:tcBorders/>
            <w:tcMar>
              <w:top w:w="28" w:type="dxa"/>
              <w:left w:w="28" w:type="dxa"/>
              <w:right w:w="28" w:type="dxa"/>
            </w:tcMar>
            <w:vAlign w:val="center"/>
          </w:tcPr>
          <w:p>
            <w:pPr>
              <w:pStyle w:val="TableContents"/>
              <w:bidi w:val="0"/>
              <w:spacing w:before="0" w:after="0"/>
              <w:jc w:val="left"/>
              <w:rPr/>
            </w:pPr>
            <w:r>
              <w:rPr>
                <w:spacing w:val="4"/>
              </w:rPr>
              <w:t>/s/ Richard Peters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Richard Peters, M.D.,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April 3, 2024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74" w:type="dxa"/>
            <w:tcBorders/>
            <w:tcMar>
              <w:top w:w="28" w:type="dxa"/>
              <w:left w:w="28" w:type="dxa"/>
              <w:right w:w="28" w:type="dxa"/>
            </w:tcMar>
            <w:vAlign w:val="center"/>
          </w:tcPr>
          <w:p>
            <w:pPr>
              <w:pStyle w:val="TableContents"/>
              <w:bidi w:val="0"/>
              <w:spacing w:before="0" w:after="0"/>
              <w:jc w:val="left"/>
              <w:rPr/>
            </w:pPr>
            <w:r>
              <w:rPr>
                <w:spacing w:val="4"/>
              </w:rPr>
              <w:t>/s/ Gabriel Gruia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Gabriel Gruia,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April 3, 2024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74" w:type="dxa"/>
            <w:tcBorders/>
            <w:tcMar>
              <w:top w:w="28" w:type="dxa"/>
              <w:left w:w="28" w:type="dxa"/>
              <w:right w:w="28" w:type="dxa"/>
            </w:tcMar>
            <w:vAlign w:val="center"/>
          </w:tcPr>
          <w:p>
            <w:pPr>
              <w:pStyle w:val="TableContents"/>
              <w:bidi w:val="0"/>
              <w:spacing w:before="0" w:after="0"/>
              <w:jc w:val="left"/>
              <w:rPr/>
            </w:pPr>
            <w:r>
              <w:rPr>
                <w:spacing w:val="4"/>
              </w:rPr>
              <w:t>/s/ Bernd Seizinger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Bernd R. Seizinger, M.D.,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April 3, 2024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74" w:type="dxa"/>
            <w:tcBorders/>
            <w:tcMar>
              <w:top w:w="28" w:type="dxa"/>
              <w:left w:w="28" w:type="dxa"/>
              <w:right w:w="28" w:type="dxa"/>
            </w:tcMar>
            <w:vAlign w:val="center"/>
          </w:tcPr>
          <w:p>
            <w:pPr>
              <w:pStyle w:val="TableContents"/>
              <w:bidi w:val="0"/>
              <w:spacing w:before="0" w:after="0"/>
              <w:jc w:val="left"/>
              <w:rPr/>
            </w:pPr>
            <w:r>
              <w:rPr>
                <w:spacing w:val="4"/>
              </w:rPr>
              <w:t>/s/ Jean-Pierre Bizzari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Jean-Pierre Bizzari,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3" w:type="dxa"/>
            <w:tcBorders/>
            <w:tcMar>
              <w:top w:w="28" w:type="dxa"/>
              <w:left w:w="28" w:type="dxa"/>
              <w:right w:w="28" w:type="dxa"/>
            </w:tcMar>
            <w:vAlign w:val="center"/>
          </w:tcPr>
          <w:p>
            <w:pPr>
              <w:pStyle w:val="TableContents"/>
              <w:bidi w:val="0"/>
              <w:spacing w:before="0" w:after="283"/>
              <w:jc w:val="left"/>
              <w:rPr/>
            </w:pPr>
            <w:r>
              <w:rPr>
                <w:spacing w:val="4"/>
              </w:rPr>
              <w:t>April 3, 2024</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b/>
        </w:rPr>
      </w:pPr>
      <w:bookmarkStart w:id="16" w:name="tm2410156d2_ex5-1.htm"/>
      <w:bookmarkStart w:id="17" w:name="kstm2410156d2_ex51"/>
      <w:bookmarkEnd w:id="16"/>
      <w:bookmarkEnd w:id="17"/>
      <w:r>
        <w:rPr>
          <w:b/>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3125" w:type="dxa"/>
        <w:jc w:val="left"/>
        <w:tblInd w:w="0" w:type="dxa"/>
        <w:tblLayout w:type="fixed"/>
        <w:tblCellMar>
          <w:top w:w="0" w:type="dxa"/>
          <w:left w:w="0" w:type="dxa"/>
          <w:bottom w:w="0" w:type="dxa"/>
          <w:right w:w="0" w:type="dxa"/>
        </w:tblCellMar>
      </w:tblPr>
      <w:tblGrid>
        <w:gridCol w:w="75"/>
        <w:gridCol w:w="60"/>
        <w:gridCol w:w="299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both"/>
              <w:rPr/>
            </w:pPr>
            <w:r>
              <w:rPr/>
              <w:t>DLA Piper LLP (US)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both"/>
              <w:rPr/>
            </w:pPr>
            <w:r>
              <w:rPr/>
              <w:t>One Liberty Place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both"/>
              <w:rPr/>
            </w:pPr>
            <w:r>
              <w:rPr/>
              <w:t>1650 Market Street, Suite 5000</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both"/>
              <w:rPr/>
            </w:pPr>
            <w:r>
              <w:rPr/>
              <w:t>Philadelphia, PA 19103-7300</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both"/>
              <w:rPr/>
            </w:pPr>
            <w:r>
              <w:rPr/>
              <w:t>www.dlapiper.com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Aprea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3805 Old Easton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Doylestown, PA 18902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75"/>
        <w:gridCol w:w="9568"/>
      </w:tblGrid>
      <w:tr>
        <w:trPr/>
        <w:tc>
          <w:tcPr>
            <w:tcW w:w="6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pPr>
            <w:r>
              <w:rPr/>
              <w:t>Re:</w:t>
            </w:r>
          </w:p>
        </w:tc>
        <w:tc>
          <w:tcPr>
            <w:tcW w:w="9568" w:type="dxa"/>
            <w:tcBorders/>
            <w:vAlign w:val="center"/>
          </w:tcPr>
          <w:p>
            <w:pPr>
              <w:pStyle w:val="TableContents"/>
              <w:bidi w:val="0"/>
              <w:spacing w:before="0" w:after="283"/>
              <w:jc w:val="left"/>
              <w:rPr>
                <w:u w:val="single"/>
              </w:rPr>
            </w:pPr>
            <w:r>
              <w:rPr>
                <w:u w:val="single"/>
              </w:rPr>
              <w:t>Aprea Therapeutics, Inc. 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Aprea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in connection with the filing by the Company of the referenced Registration Statement (the “</w:t>
      </w:r>
      <w:r>
        <w:rPr>
          <w:rFonts w:ascii="Times New Roman;Times;Serif" w:hAnsi="Times New Roman;Times;Serif"/>
          <w:b w:val="false"/>
          <w:i w:val="false"/>
          <w:caps w:val="false"/>
          <w:smallCaps w:val="false"/>
          <w:sz w:val="20"/>
          <w:u w:val="single"/>
          <w:shd w:fill="FFFFFF" w:val="clear"/>
        </w:rPr>
        <w:t>Registration Statement</w:t>
      </w:r>
      <w:r>
        <w:rPr>
          <w:rFonts w:ascii="Times New Roman;Times;Serif" w:hAnsi="Times New Roman;Times;Serif"/>
          <w:b w:val="false"/>
          <w:i w:val="false"/>
          <w:caps w:val="false"/>
          <w:smallCaps w:val="false"/>
          <w:sz w:val="20"/>
          <w:shd w:fill="FFFFFF" w:val="clear"/>
        </w:rPr>
        <w:t>”) under the Securities Act of 1933, as amended (the “</w:t>
      </w:r>
      <w:r>
        <w:rPr>
          <w:rFonts w:ascii="Times New Roman;Times;Serif" w:hAnsi="Times New Roman;Times;Serif"/>
          <w:b w:val="false"/>
          <w:i w:val="false"/>
          <w:caps w:val="false"/>
          <w:smallCaps w:val="false"/>
          <w:sz w:val="20"/>
          <w:u w:val="single"/>
          <w:shd w:fill="FFFFFF" w:val="clear"/>
        </w:rPr>
        <w:t>Act</w:t>
      </w:r>
      <w:r>
        <w:rPr>
          <w:rFonts w:ascii="Times New Roman;Times;Serif" w:hAnsi="Times New Roman;Times;Serif"/>
          <w:b w:val="false"/>
          <w:i w:val="false"/>
          <w:caps w:val="false"/>
          <w:smallCaps w:val="false"/>
          <w:sz w:val="20"/>
          <w:shd w:fill="FFFFFF" w:val="clear"/>
        </w:rPr>
        <w:t xml:space="preserve">”) with the Securities and Exchange Commission (the “SEC”) pursuant to Rule 415 under the Act.  The Registration Statement relates to the proposed offering and sale of </w:t>
      </w:r>
      <w:r>
        <w:rPr>
          <w:rFonts w:ascii="Times New Roman;Times;Serif" w:hAnsi="Times New Roman;Times;Serif"/>
          <w:b w:val="false"/>
          <w:i w:val="false"/>
          <w:caps w:val="false"/>
          <w:smallCaps w:val="false"/>
          <w:sz w:val="20"/>
        </w:rPr>
        <w:t>an aggregate of 4,389,576 shares of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consisting of (i) 1,687,712 shares of Common Stock (the “</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(b) 507,076 shares (the “</w:t>
      </w:r>
      <w:r>
        <w:rPr>
          <w:rFonts w:ascii="Times New Roman;Times;Serif" w:hAnsi="Times New Roman;Times;Serif"/>
          <w:b w:val="false"/>
          <w:i w:val="false"/>
          <w:caps w:val="false"/>
          <w:smallCaps w:val="false"/>
          <w:sz w:val="20"/>
          <w:u w:val="single"/>
        </w:rPr>
        <w:t>Pre-Funded Warrant Shares</w:t>
      </w:r>
      <w:r>
        <w:rPr>
          <w:rFonts w:ascii="Times New Roman;Times;Serif" w:hAnsi="Times New Roman;Times;Serif"/>
          <w:b w:val="false"/>
          <w:i w:val="false"/>
          <w:caps w:val="false"/>
          <w:smallCaps w:val="false"/>
          <w:sz w:val="20"/>
        </w:rPr>
        <w:t>”) of Common Stock underlying pre-funded warrants (the “</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(c) 1,097,394 shares (the “</w:t>
      </w:r>
      <w:r>
        <w:rPr>
          <w:rFonts w:ascii="Times New Roman;Times;Serif" w:hAnsi="Times New Roman;Times;Serif"/>
          <w:b w:val="false"/>
          <w:i w:val="false"/>
          <w:caps w:val="false"/>
          <w:smallCaps w:val="false"/>
          <w:sz w:val="20"/>
          <w:u w:val="single"/>
        </w:rPr>
        <w:t>Tranche A Warrant Shares</w:t>
      </w:r>
      <w:r>
        <w:rPr>
          <w:rFonts w:ascii="Times New Roman;Times;Serif" w:hAnsi="Times New Roman;Times;Serif"/>
          <w:b w:val="false"/>
          <w:i w:val="false"/>
          <w:caps w:val="false"/>
          <w:smallCaps w:val="false"/>
          <w:sz w:val="20"/>
        </w:rPr>
        <w:t>”) of Common Stock underlying Tranche A common stock purchase warrants (the “</w:t>
      </w:r>
      <w:r>
        <w:rPr>
          <w:rFonts w:ascii="Times New Roman;Times;Serif" w:hAnsi="Times New Roman;Times;Serif"/>
          <w:b w:val="false"/>
          <w:i w:val="false"/>
          <w:caps w:val="false"/>
          <w:smallCaps w:val="false"/>
          <w:sz w:val="20"/>
          <w:u w:val="single"/>
        </w:rPr>
        <w:t>Tranche A Warrants</w:t>
      </w:r>
      <w:r>
        <w:rPr>
          <w:rFonts w:ascii="Times New Roman;Times;Serif" w:hAnsi="Times New Roman;Times;Serif"/>
          <w:b w:val="false"/>
          <w:i w:val="false"/>
          <w:caps w:val="false"/>
          <w:smallCaps w:val="false"/>
          <w:sz w:val="20"/>
        </w:rPr>
        <w:t>”), and (d) 1,097,394 shares (the “</w:t>
      </w:r>
      <w:r>
        <w:rPr>
          <w:rFonts w:ascii="Times New Roman;Times;Serif" w:hAnsi="Times New Roman;Times;Serif"/>
          <w:b w:val="false"/>
          <w:i w:val="false"/>
          <w:caps w:val="false"/>
          <w:smallCaps w:val="false"/>
          <w:sz w:val="20"/>
          <w:u w:val="single"/>
        </w:rPr>
        <w:t>Tranche B Warrant Shares</w:t>
      </w:r>
      <w:r>
        <w:rPr>
          <w:rFonts w:ascii="Times New Roman;Times;Serif" w:hAnsi="Times New Roman;Times;Serif"/>
          <w:b w:val="false"/>
          <w:i w:val="false"/>
          <w:caps w:val="false"/>
          <w:smallCaps w:val="false"/>
          <w:sz w:val="20"/>
        </w:rPr>
        <w:t>” and, together with the Pre-Funded Warrant Shares and the Tranche A Warrant Shares,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underlying Tranche B common stock purchase warrants (the “</w:t>
      </w:r>
      <w:r>
        <w:rPr>
          <w:rFonts w:ascii="Times New Roman;Times;Serif" w:hAnsi="Times New Roman;Times;Serif"/>
          <w:b w:val="false"/>
          <w:i w:val="false"/>
          <w:caps w:val="false"/>
          <w:smallCaps w:val="false"/>
          <w:sz w:val="20"/>
          <w:u w:val="single"/>
        </w:rPr>
        <w:t>Tranche B Warrants</w:t>
      </w:r>
      <w:r>
        <w:rPr>
          <w:rFonts w:ascii="Times New Roman;Times;Serif" w:hAnsi="Times New Roman;Times;Serif"/>
          <w:b w:val="false"/>
          <w:i w:val="false"/>
          <w:caps w:val="false"/>
          <w:smallCaps w:val="false"/>
          <w:sz w:val="20"/>
        </w:rPr>
        <w:t>” and, together with the Pre-Funded Warrants and the Tranche A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The Common Shares, Warrants and Warrant Shares are referred to herein collectively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The Securities were issued pursuant to a securities purchase agreement between the Company and the purchasers named therein dated as of March 11, 2024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This opinion is being rendered in connection with the filing of the Registration Statement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the Registration Statement and the prospectus contained therein, the Company’s Amended and Restated Certificate of Incorporation, as amended (the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the Company’s Amended and Restated Bylaws, the Purchase Agreement, and such instruments, documents, certificates and records that we have deemed relevant and necessary for the basis of our opinion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records, documents, instruments and certificates we have reviewed; and (iv) the due execution and delivery of all documents where due execution and delivery are a prerequisite to the effectiveness thereof. For purposes of the opinion set forth below, we have assumed that before the Warrant Shares are issued the Company does not issue shares of Common Stock or reduce the total number of shares of Common Stock the Company is authorized to issue under the Charter such that the number of unissued shares of Common Stock authorized under the Charter is less than the number of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additional qualifications set forth below, we are of the opinion that (i) the Common Shares have been duly authorized and validly issued and are fully paid and nonassessable and (ii) the Warrant Shares, when delivered and paid for upon exercise of the Warrants in accordance with the terms of the Warrants, will have been duly authorized and validly issued and will be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General Corporate Law of the State of Delaware, and we express no opinion with respect to the laws of any other jurisdiction. No opinion is expressed herein with respect to the qualification of the Shares under the securities or blue sky laws of any state or foreign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Registration Statement and to the reference to this firm under the caption “Legal Matters”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consent, we do not admit that we are within the category of persons whose consent is required by Section 7 of the Securities Act or the rules and regulations promulgated thereunder by the SEC. This opinion letter is given to you solely for use in connection with the resale of the Warrant Shares and Common Shares while the Registration Statement is in effect and is not to be relied upon for any other purpose. Our opinion is expressly limited to the matters set forth above, and we render no opinion, whether by implication or otherwise, as to any other matters relating to the Company, the Securities or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DLA Piper LLP (US)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bookmarkStart w:id="18" w:name="tm2410156d2_ex23-2.htm"/>
      <w:bookmarkStart w:id="19" w:name="kstm2410156d2_ex232"/>
      <w:bookmarkEnd w:id="18"/>
      <w:bookmarkEnd w:id="1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consent to the incorporation by reference in this Registration Statement of Aprea Therapeutics, Inc. on Form S-3 to be filed on or about April 3, 2024 of our report dated March 26, 2024, on our audit of the financial statements as of December 31, 2023 and for the year then ended, which report was included in the Annual Report on Form 10-K filed March 26, 2024. We also consent to the reference to our firm under the caption “Experts” in this Registration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EisnerAmper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EISNERAMPER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 2024</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20" w:name="tm2410156d2_ex23-3.htm"/>
      <w:bookmarkStart w:id="21" w:name="kstm2410156d2_ex233"/>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 and related Prospectus of Aprea Therapeutics, Inc. for the registration of (i) 1,687,712 shares of common stock, par value $0.001 per share (the “Common Stock”), initially issued in a private placement on March 13, 2024 (the “Private Placement”), (ii) 507,076 shares of Common Stock underlying pre-funded warrants issued in the Private Placement, (iii) 1,097,394 shares of Common Stock underlying Tranche A common stock purchase warrants issued in the Private Placement, and (iv) 1,097,394 shares of Common Stock underlying Tranche B common stock purchase warrants issued in the Private Placement and to the incorporation by reference therein of our report dated March 30, 2023, with respect to the consolidated financial statements of Aprea Therapeutics, Inc. included in its Annual Report (Form 10-K) for the year ended December 31, 2022 filed with the Securities and Exchange Commission.</w:t>
      </w:r>
    </w:p>
    <w:p>
      <w:pPr>
        <w:pStyle w:val="TextBody"/>
        <w:bidi w:val="0"/>
        <w:spacing w:before="0" w:after="0"/>
        <w:ind w:left="5220" w:right="0" w:hanging="0"/>
        <w:jc w:val="left"/>
        <w:rPr>
          <w:caps w:val="false"/>
          <w:smallCaps w:val="false"/>
        </w:rPr>
      </w:pPr>
      <w:r>
        <w:rPr>
          <w:caps w:val="false"/>
          <w:smallCaps w:val="false"/>
        </w:rPr>
        <w:t> </w:t>
      </w:r>
    </w:p>
    <w:p>
      <w:pPr>
        <w:pStyle w:val="TextBody"/>
        <w:bidi w:val="0"/>
        <w:spacing w:before="0" w:after="0"/>
        <w:jc w:val="left"/>
        <w:rPr/>
      </w:pPr>
      <w:r>
        <w:rPr>
          <w:sz w:val="20"/>
        </w:rPr>
        <w:t>/s/ Ernst &amp; Young LLP</w:t>
      </w: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bookmarkStart w:id="22" w:name="tm2410156d2_ex-filingfees.htm"/>
      <w:bookmarkStart w:id="23" w:name="kstm2410156d2_exfilingfees"/>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APREA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7"/>
        <w:gridCol w:w="725"/>
        <w:gridCol w:w="60"/>
        <w:gridCol w:w="1183"/>
        <w:gridCol w:w="60"/>
        <w:gridCol w:w="1010"/>
        <w:gridCol w:w="60"/>
        <w:gridCol w:w="1034"/>
        <w:gridCol w:w="140"/>
        <w:gridCol w:w="905"/>
        <w:gridCol w:w="60"/>
        <w:gridCol w:w="125"/>
        <w:gridCol w:w="1409"/>
        <w:gridCol w:w="60"/>
        <w:gridCol w:w="60"/>
        <w:gridCol w:w="140"/>
        <w:gridCol w:w="905"/>
        <w:gridCol w:w="60"/>
        <w:gridCol w:w="235"/>
        <w:gridCol w:w="869"/>
        <w:gridCol w:w="78"/>
      </w:tblGrid>
      <w:tr>
        <w:trPr/>
        <w:tc>
          <w:tcPr>
            <w:tcW w:w="1027" w:type="dxa"/>
            <w:tcBorders/>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Security</w:t>
              <w:br/>
              <w:t>Type</w:t>
            </w:r>
          </w:p>
        </w:tc>
        <w:tc>
          <w:tcPr>
            <w:tcW w:w="60" w:type="dxa"/>
            <w:tcBorders/>
            <w:vAlign w:val="center"/>
          </w:tcPr>
          <w:p>
            <w:pPr>
              <w:pStyle w:val="TableContents"/>
              <w:bidi w:val="0"/>
              <w:spacing w:before="0" w:after="283"/>
              <w:jc w:val="left"/>
              <w:rPr/>
            </w:pPr>
            <w:r>
              <w:rPr/>
              <w:t> </w:t>
            </w:r>
          </w:p>
        </w:tc>
        <w:tc>
          <w:tcPr>
            <w:tcW w:w="118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Security</w:t>
              <w:br/>
              <w:t>Class</w:t>
              <w:br/>
              <w:t>Title</w:t>
            </w:r>
          </w:p>
        </w:tc>
        <w:tc>
          <w:tcPr>
            <w:tcW w:w="6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w:t>
              <w:br/>
              <w:t>Calculation</w:t>
              <w:br/>
              <w:t>or Carry</w:t>
              <w:br/>
              <w:t>Forward</w:t>
              <w:br/>
              <w:t>Rule</w:t>
            </w:r>
          </w:p>
        </w:tc>
        <w:tc>
          <w:tcPr>
            <w:tcW w:w="60" w:type="dxa"/>
            <w:tcBorders/>
            <w:vAlign w:val="center"/>
          </w:tcPr>
          <w:p>
            <w:pPr>
              <w:pStyle w:val="TableContents"/>
              <w:bidi w:val="0"/>
              <w:spacing w:before="0" w:after="283"/>
              <w:jc w:val="left"/>
              <w:rPr/>
            </w:pPr>
            <w:r>
              <w:rPr/>
              <w:t> </w:t>
            </w:r>
          </w:p>
        </w:tc>
        <w:tc>
          <w:tcPr>
            <w:tcW w:w="103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br/>
              <w:t>Registered</w:t>
            </w:r>
            <w:r>
              <w:rPr>
                <w:rFonts w:ascii="Times New Roman;Times;Serif" w:hAnsi="Times New Roman;Times;Serif"/>
                <w:b/>
                <w:position w:val="7"/>
                <w:sz w:val="16"/>
                <w:sz w:val="20"/>
              </w:rPr>
              <w:t>(1)(2)</w:t>
            </w:r>
          </w:p>
        </w:tc>
        <w:tc>
          <w:tcPr>
            <w:tcW w:w="14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Proposed</w:t>
              <w:br/>
              <w:t>Maximum</w:t>
              <w:br/>
              <w:t>Offering</w:t>
              <w:br/>
              <w:t>Price Per</w:t>
              <w:br/>
              <w:t>Unit</w:t>
            </w:r>
            <w:r>
              <w:rPr>
                <w:rFonts w:ascii="Times New Roman;Times;Serif" w:hAnsi="Times New Roman;Times;Serif"/>
                <w:b/>
                <w:position w:val="7"/>
                <w:sz w:val="16"/>
                <w:sz w:val="20"/>
              </w:rPr>
              <w:t>(3)</w:t>
            </w:r>
          </w:p>
        </w:tc>
        <w:tc>
          <w:tcPr>
            <w:tcW w:w="60" w:type="dxa"/>
            <w:tcBorders/>
            <w:vAlign w:val="center"/>
          </w:tcPr>
          <w:p>
            <w:pPr>
              <w:pStyle w:val="TableContents"/>
              <w:bidi w:val="0"/>
              <w:spacing w:before="0" w:after="283"/>
              <w:jc w:val="left"/>
              <w:rPr/>
            </w:pPr>
            <w:r>
              <w:rPr/>
              <w:t> </w:t>
            </w:r>
          </w:p>
        </w:tc>
        <w:tc>
          <w:tcPr>
            <w:tcW w:w="1594" w:type="dxa"/>
            <w:gridSpan w:val="3"/>
            <w:tcBorders>
              <w:bottom w:val="single" w:sz="8" w:space="0" w:color="000000"/>
            </w:tcBorders>
            <w:tcMar>
              <w:bottom w:w="3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Price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w:t>
              <w:br/>
              <w:t>Rate</w:t>
            </w:r>
          </w:p>
        </w:tc>
        <w:tc>
          <w:tcPr>
            <w:tcW w:w="60" w:type="dxa"/>
            <w:tcBorders/>
            <w:vAlign w:val="center"/>
          </w:tcPr>
          <w:p>
            <w:pPr>
              <w:pStyle w:val="TableContents"/>
              <w:bidi w:val="0"/>
              <w:spacing w:before="0" w:after="283"/>
              <w:jc w:val="left"/>
              <w:rPr/>
            </w:pPr>
            <w:r>
              <w:rPr/>
              <w:t> </w:t>
            </w:r>
          </w:p>
        </w:tc>
        <w:tc>
          <w:tcPr>
            <w:tcW w:w="1182"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of</w:t>
              <w:br/>
              <w:t>Registration</w:t>
              <w:br/>
              <w:t>Fee</w:t>
            </w:r>
            <w:r>
              <w:rPr>
                <w:rFonts w:ascii="Times New Roman;Times;Serif" w:hAnsi="Times New Roman;Times;Serif"/>
                <w:b/>
                <w:position w:val="7"/>
                <w:sz w:val="16"/>
                <w:sz w:val="20"/>
              </w:rPr>
              <w:t>(3)</w:t>
            </w:r>
          </w:p>
        </w:tc>
      </w:tr>
      <w:tr>
        <w:trPr/>
        <w:tc>
          <w:tcPr>
            <w:tcW w:w="10205" w:type="dxa"/>
            <w:gridSpan w:val="21"/>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Newly Registered Securities</w:t>
            </w:r>
          </w:p>
        </w:tc>
      </w:tr>
      <w:tr>
        <w:trPr/>
        <w:tc>
          <w:tcPr>
            <w:tcW w:w="102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Fees to Be Paid</w:t>
            </w:r>
          </w:p>
        </w:tc>
        <w:tc>
          <w:tcPr>
            <w:tcW w:w="7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w:t>
            </w:r>
          </w:p>
        </w:tc>
        <w:tc>
          <w:tcPr>
            <w:tcW w:w="6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$0.001 per share</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Rule 457(c)</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center"/>
              <w:rPr/>
            </w:pPr>
            <w:r>
              <w:rPr/>
              <w:t> </w:t>
            </w:r>
            <w:r>
              <w:rPr>
                <w:rFonts w:ascii="Times New Roman;Times;Serif" w:hAnsi="Times New Roman;Times;Serif"/>
                <w:sz w:val="20"/>
              </w:rPr>
              <w:t>4,389,576</w:t>
            </w:r>
          </w:p>
        </w:tc>
        <w:tc>
          <w:tcPr>
            <w:tcW w:w="140" w:type="dxa"/>
            <w:tcBorders/>
            <w:shd w:fill="FFFFFF" w:val="clear"/>
            <w:vAlign w:val="center"/>
          </w:tcPr>
          <w:p>
            <w:pPr>
              <w:pStyle w:val="TableContents"/>
              <w:bidi w:val="0"/>
              <w:spacing w:before="0" w:after="283"/>
              <w:jc w:val="center"/>
              <w:rPr/>
            </w:pPr>
            <w:r>
              <w:rPr/>
              <w:t>$</w:t>
            </w:r>
          </w:p>
        </w:tc>
        <w:tc>
          <w:tcPr>
            <w:tcW w:w="905" w:type="dxa"/>
            <w:tcBorders/>
            <w:shd w:fill="FFFFFF" w:val="clear"/>
            <w:vAlign w:val="center"/>
          </w:tcPr>
          <w:p>
            <w:pPr>
              <w:pStyle w:val="TableContents"/>
              <w:bidi w:val="0"/>
              <w:spacing w:before="0" w:after="283"/>
              <w:jc w:val="center"/>
              <w:rPr/>
            </w:pPr>
            <w:r>
              <w:rPr/>
              <w:t>6.355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9" w:type="dxa"/>
            <w:tcBorders/>
            <w:shd w:fill="FFFFFF" w:val="clear"/>
            <w:vAlign w:val="center"/>
          </w:tcPr>
          <w:p>
            <w:pPr>
              <w:pStyle w:val="TableContents"/>
              <w:bidi w:val="0"/>
              <w:spacing w:before="0" w:after="283"/>
              <w:jc w:val="right"/>
              <w:rPr/>
            </w:pPr>
            <w:r>
              <w:rPr/>
              <w:t xml:space="preserve">27,895,755.48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center"/>
              <w:rPr/>
            </w:pPr>
            <w:r>
              <w:rPr/>
              <w:t>$</w:t>
            </w:r>
          </w:p>
        </w:tc>
        <w:tc>
          <w:tcPr>
            <w:tcW w:w="90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0.0001476</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4,117.41 </w:t>
            </w:r>
          </w:p>
        </w:tc>
        <w:tc>
          <w:tcPr>
            <w:tcW w:w="78" w:type="dxa"/>
            <w:tcBorders/>
            <w:shd w:fill="FFFFFF" w:val="clear"/>
            <w:vAlign w:val="center"/>
          </w:tcPr>
          <w:p>
            <w:pPr>
              <w:pStyle w:val="TableContents"/>
              <w:bidi w:val="0"/>
              <w:spacing w:before="0" w:after="283"/>
              <w:jc w:val="left"/>
              <w:rPr/>
            </w:pPr>
            <w:r>
              <w:rPr/>
              <w:t> </w:t>
            </w:r>
          </w:p>
        </w:tc>
      </w:tr>
      <w:tr>
        <w:trPr/>
        <w:tc>
          <w:tcPr>
            <w:tcW w:w="10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Fees Previously Paid</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869"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6264" w:type="dxa"/>
            <w:gridSpan w:val="11"/>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Offering Amounts</w:t>
            </w:r>
          </w:p>
        </w:tc>
        <w:tc>
          <w:tcPr>
            <w:tcW w:w="125" w:type="dxa"/>
            <w:tcBorders>
              <w:top w:val="single" w:sz="8" w:space="0" w:color="000000"/>
            </w:tcBorders>
            <w:shd w:fill="FFFFFF" w:val="clear"/>
            <w:tcMar>
              <w:top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9" w:type="dxa"/>
            <w:tcBorders>
              <w:top w:val="single" w:sz="8" w:space="0" w:color="000000"/>
            </w:tcBorders>
            <w:shd w:fill="FFFFFF" w:val="clear"/>
            <w:tcMar>
              <w:top w:w="3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27,895,755.48 </w:t>
            </w:r>
          </w:p>
        </w:tc>
        <w:tc>
          <w:tcPr>
            <w:tcW w:w="60" w:type="dxa"/>
            <w:tcBorders>
              <w:top w:val="single" w:sz="8" w:space="0" w:color="000000"/>
            </w:tcBorders>
            <w:shd w:fill="FFFFFF" w:val="clear"/>
            <w:tcMar>
              <w:top w:w="3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top w:val="single" w:sz="8" w:space="0" w:color="000000"/>
            </w:tcBorders>
            <w:shd w:fill="FFFFFF" w:val="clear"/>
            <w:tcMar>
              <w:top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9" w:type="dxa"/>
            <w:tcBorders>
              <w:top w:val="single" w:sz="8" w:space="0" w:color="000000"/>
            </w:tcBorders>
            <w:shd w:fill="FFFFFF" w:val="clear"/>
            <w:tcMar>
              <w:top w:w="30" w:type="dxa"/>
            </w:tcMar>
            <w:vAlign w:val="center"/>
          </w:tcPr>
          <w:p>
            <w:pPr>
              <w:pStyle w:val="TableContents"/>
              <w:bidi w:val="0"/>
              <w:spacing w:before="0" w:after="283"/>
              <w:jc w:val="right"/>
              <w:rPr/>
            </w:pPr>
            <w:r>
              <w:rPr/>
              <w:t xml:space="preserve">4,117.41 </w:t>
            </w:r>
          </w:p>
        </w:tc>
        <w:tc>
          <w:tcPr>
            <w:tcW w:w="78" w:type="dxa"/>
            <w:tcBorders>
              <w:top w:val="single" w:sz="8" w:space="0" w:color="000000"/>
            </w:tcBorders>
            <w:shd w:fill="FFFFFF" w:val="clear"/>
            <w:tcMar>
              <w:top w:w="30" w:type="dxa"/>
            </w:tcMar>
            <w:vAlign w:val="center"/>
          </w:tcPr>
          <w:p>
            <w:pPr>
              <w:pStyle w:val="TableContents"/>
              <w:bidi w:val="0"/>
              <w:spacing w:before="0" w:after="283"/>
              <w:jc w:val="left"/>
              <w:rPr/>
            </w:pPr>
            <w:r>
              <w:rPr/>
              <w:t> </w:t>
            </w:r>
          </w:p>
        </w:tc>
      </w:tr>
      <w:tr>
        <w:trPr/>
        <w:tc>
          <w:tcPr>
            <w:tcW w:w="6264" w:type="dxa"/>
            <w:gridSpan w:val="11"/>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Fees Previously Paid</w:t>
            </w:r>
          </w:p>
        </w:tc>
        <w:tc>
          <w:tcPr>
            <w:tcW w:w="1594" w:type="dxa"/>
            <w:gridSpan w:val="3"/>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top w:val="single" w:sz="8" w:space="0" w:color="000000"/>
            </w:tcBorders>
            <w:shd w:fill="CCEEFF" w:val="clear"/>
            <w:tcMar>
              <w:top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9" w:type="dxa"/>
            <w:tcBorders>
              <w:top w:val="single" w:sz="8" w:space="0" w:color="000000"/>
            </w:tcBorders>
            <w:shd w:fill="CCEEFF" w:val="clear"/>
            <w:tcMar>
              <w:top w:w="3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0.00 </w:t>
            </w:r>
          </w:p>
        </w:tc>
        <w:tc>
          <w:tcPr>
            <w:tcW w:w="78" w:type="dxa"/>
            <w:tcBorders>
              <w:top w:val="single" w:sz="8" w:space="0" w:color="000000"/>
            </w:tcBorders>
            <w:shd w:fill="CCEEFF" w:val="clear"/>
            <w:tcMar>
              <w:top w:w="30" w:type="dxa"/>
            </w:tcMar>
            <w:vAlign w:val="center"/>
          </w:tcPr>
          <w:p>
            <w:pPr>
              <w:pStyle w:val="TableContents"/>
              <w:bidi w:val="0"/>
              <w:spacing w:before="0" w:after="283"/>
              <w:jc w:val="left"/>
              <w:rPr/>
            </w:pPr>
            <w:r>
              <w:rPr/>
              <w:t> </w:t>
            </w:r>
          </w:p>
        </w:tc>
      </w:tr>
      <w:tr>
        <w:trPr/>
        <w:tc>
          <w:tcPr>
            <w:tcW w:w="6264" w:type="dxa"/>
            <w:gridSpan w:val="11"/>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Fee Offsets</w:t>
            </w:r>
          </w:p>
        </w:tc>
        <w:tc>
          <w:tcPr>
            <w:tcW w:w="1594" w:type="dxa"/>
            <w:gridSpan w:val="3"/>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top w:val="single" w:sz="8" w:space="0" w:color="000000"/>
            </w:tcBorders>
            <w:shd w:fill="FFFFFF" w:val="clear"/>
            <w:tcMar>
              <w:top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9" w:type="dxa"/>
            <w:tcBorders>
              <w:top w:val="single" w:sz="8" w:space="0" w:color="000000"/>
            </w:tcBorders>
            <w:shd w:fill="FFFFFF" w:val="clear"/>
            <w:tcMar>
              <w:top w:w="3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0.00 </w:t>
            </w:r>
          </w:p>
        </w:tc>
        <w:tc>
          <w:tcPr>
            <w:tcW w:w="78" w:type="dxa"/>
            <w:tcBorders>
              <w:top w:val="single" w:sz="8" w:space="0" w:color="000000"/>
            </w:tcBorders>
            <w:shd w:fill="FFFFFF" w:val="clear"/>
            <w:tcMar>
              <w:top w:w="30" w:type="dxa"/>
            </w:tcMar>
            <w:vAlign w:val="center"/>
          </w:tcPr>
          <w:p>
            <w:pPr>
              <w:pStyle w:val="TableContents"/>
              <w:bidi w:val="0"/>
              <w:spacing w:before="0" w:after="283"/>
              <w:jc w:val="left"/>
              <w:rPr/>
            </w:pPr>
            <w:r>
              <w:rPr/>
              <w:t> </w:t>
            </w:r>
          </w:p>
        </w:tc>
      </w:tr>
      <w:tr>
        <w:trPr/>
        <w:tc>
          <w:tcPr>
            <w:tcW w:w="6264" w:type="dxa"/>
            <w:gridSpan w:val="11"/>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Fee Due</w:t>
            </w:r>
          </w:p>
        </w:tc>
        <w:tc>
          <w:tcPr>
            <w:tcW w:w="1594" w:type="dxa"/>
            <w:gridSpan w:val="3"/>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top w:val="single" w:sz="8" w:space="0" w:color="000000"/>
              <w:bottom w:val="single" w:sz="8" w:space="0" w:color="000000"/>
            </w:tcBorders>
            <w:shd w:fill="CCEEFF" w:val="clear"/>
            <w:tcMar>
              <w:top w:w="3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9" w:type="dxa"/>
            <w:tcBorders>
              <w:top w:val="single" w:sz="8" w:space="0" w:color="000000"/>
              <w:bottom w:val="single" w:sz="8" w:space="0" w:color="000000"/>
            </w:tcBorders>
            <w:shd w:fill="CCEEFF" w:val="clear"/>
            <w:tcMar>
              <w:top w:w="30" w:type="dxa"/>
              <w:bottom w:w="28" w:type="dxa"/>
            </w:tcMar>
            <w:vAlign w:val="center"/>
          </w:tcPr>
          <w:p>
            <w:pPr>
              <w:pStyle w:val="TableContents"/>
              <w:bidi w:val="0"/>
              <w:spacing w:before="0" w:after="283"/>
              <w:jc w:val="right"/>
              <w:rPr/>
            </w:pPr>
            <w:r>
              <w:rPr/>
              <w:t xml:space="preserve">4,117.41 </w:t>
            </w:r>
          </w:p>
        </w:tc>
        <w:tc>
          <w:tcPr>
            <w:tcW w:w="78" w:type="dxa"/>
            <w:tcBorders>
              <w:top w:val="single" w:sz="8" w:space="0" w:color="000000"/>
              <w:bottom w:val="single" w:sz="8" w:space="0" w:color="000000"/>
            </w:tcBorders>
            <w:shd w:fill="CCEEFF" w:val="clear"/>
            <w:tcMar>
              <w:top w:w="3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shares will be offered for resale by the selling stockholders pursuant to the prospectus contained in the Registration Statement. Represents shares of common stock and shares of common stock issuable upon exercise of outstanding warrants to purchase shares of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Pursuant to Rule 416 under the Securities Act of 1933, as amended, the shares being registered in the Registration Statement include such indeterminate number of shares of common stock as may be issuable with respect to the shares being registered hereunder to prevent dilution resulting from stock splits, stock dividends, or similar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Estimated solely for the purpose of calculating the registration fee in accordance with Rule 457(c) under the Securities Act of 1933, as amended, based on the average of the high and low sale price of the Company’s common stock on March 28, 2024 as reported on The Nasdaq Stock Market LLC, which date is within five business days prior to filing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81983/000155837024003886/apre-20231231x10k.htm" TargetMode="External"/><Relationship Id="rId4" Type="http://schemas.openxmlformats.org/officeDocument/2006/relationships/hyperlink" Target="https://www.sec.gov/ix?doc=/Archives/edgar/data/1781983/000155837024003886/apre-20231231x10k.htm" TargetMode="External"/><Relationship Id="rId5" Type="http://schemas.openxmlformats.org/officeDocument/2006/relationships/hyperlink" Target="https://www.sec.gov/ix?doc=/Archives/edgar/data/1781983/000155837024000060/apre-20240104x8k.htm" TargetMode="External"/><Relationship Id="rId6" Type="http://schemas.openxmlformats.org/officeDocument/2006/relationships/hyperlink" Target="https://www.sec.gov/ix?doc=/Archives/edgar/data/1781983/000110465924006976/tm244107d3_8k.htm" TargetMode="External"/><Relationship Id="rId7" Type="http://schemas.openxmlformats.org/officeDocument/2006/relationships/hyperlink" Target="https://www.sec.gov/ix?doc=/Archives/edgar/data/1781983/000155837024000818/apre-20240206x8k.htm" TargetMode="External"/><Relationship Id="rId8" Type="http://schemas.openxmlformats.org/officeDocument/2006/relationships/hyperlink" Target="https://www.sec.gov/ix?doc=/Archives/edgar/data/1781983/000110465924033494/tm248508d1_8k.htm" TargetMode="External"/><Relationship Id="rId9" Type="http://schemas.openxmlformats.org/officeDocument/2006/relationships/hyperlink" Target="https://www.sec.gov/ix?doc=/Archives/edgar/data/1781983/000155837024003887/apre-20240326x8k.htm" TargetMode="External"/><Relationship Id="rId10" Type="http://schemas.openxmlformats.org/officeDocument/2006/relationships/hyperlink" Target="https://www.sec.gov/Archives/edgar/data/1781983/000110465919052022/a19-12476_98a12b.htm" TargetMode="External"/><Relationship Id="rId11" Type="http://schemas.openxmlformats.org/officeDocument/2006/relationships/image" Target="media/image1.jpeg"/><Relationship Id="rId12" Type="http://schemas.openxmlformats.org/officeDocument/2006/relationships/hyperlink" Target="https://www.sec.gov/Archives/edgar/data/1781983/000110465923018997/tm236225d1_ex3-1.htm" TargetMode="External"/><Relationship Id="rId13" Type="http://schemas.openxmlformats.org/officeDocument/2006/relationships/hyperlink" Target="https://www.sec.gov/Archives/edgar/data/1781983/000110465922061599/tm2215660d3_ex3-1.htm" TargetMode="External"/><Relationship Id="rId14" Type="http://schemas.openxmlformats.org/officeDocument/2006/relationships/hyperlink" Target="https://www.sec.gov/Archives/edgar/data/1781983/000155837020013179/apre-20200930ex31ca25522.htm" TargetMode="External"/><Relationship Id="rId15" Type="http://schemas.openxmlformats.org/officeDocument/2006/relationships/hyperlink" Target="https://www.sec.gov/Archives/edgar/data/1781983/000110465924033494/tm248508d1_ex4-1.htm" TargetMode="External"/><Relationship Id="rId16" Type="http://schemas.openxmlformats.org/officeDocument/2006/relationships/hyperlink" Target="https://www.sec.gov/Archives/edgar/data/1781983/000110465924033494/tm248508d1_ex4-2.htm" TargetMode="External"/><Relationship Id="rId17" Type="http://schemas.openxmlformats.org/officeDocument/2006/relationships/hyperlink" Target="https://www.sec.gov/Archives/edgar/data/1781983/000110465924033494/tm248508d1_ex4-3.htm" TargetMode="External"/><Relationship Id="rId18" Type="http://schemas.openxmlformats.org/officeDocument/2006/relationships/hyperlink" Target="https://www.sec.gov/Archives/edgar/data/1781983/000110465924033494/tm248508d1_ex10-1.htm" TargetMode="External"/><Relationship Id="rId19" Type="http://schemas.openxmlformats.org/officeDocument/2006/relationships/hyperlink" Target="https://www.sec.gov/Archives/edgar/data/1781983/000110465924033494/tm248508d1_ex10-2.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18402</Words>
  <Characters>98190</Characters>
  <CharactersWithSpaces>117853</CharactersWithSpaces>
  <Paragraphs>1970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